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1800"/>
        <w:jc w:val="center"/>
      </w:pPr>
      <w:r>
        <w:drawing>
          <wp:inline xmlns:a="http://schemas.openxmlformats.org/drawingml/2006/main" xmlns:pic="http://schemas.openxmlformats.org/drawingml/2006/picture">
            <wp:extent cx="3291840" cy="995556"/>
            <wp:docPr id="1" name="Picture 1"/>
            <wp:cNvGraphicFramePr>
              <a:graphicFrameLocks noChangeAspect="1"/>
            </wp:cNvGraphicFramePr>
            <a:graphic>
              <a:graphicData uri="http://schemas.openxmlformats.org/drawingml/2006/picture">
                <pic:pic>
                  <pic:nvPicPr>
                    <pic:cNvPr id="0" name="DTI-Suite-logo.png"/>
                    <pic:cNvPicPr/>
                  </pic:nvPicPr>
                  <pic:blipFill>
                    <a:blip r:embed="rId9"/>
                    <a:stretch>
                      <a:fillRect/>
                    </a:stretch>
                  </pic:blipFill>
                  <pic:spPr>
                    <a:xfrm>
                      <a:off x="0" y="0"/>
                      <a:ext cx="3291840" cy="995556"/>
                    </a:xfrm>
                    <a:prstGeom prst="rect"/>
                  </pic:spPr>
                </pic:pic>
              </a:graphicData>
            </a:graphic>
          </wp:inline>
        </w:drawing>
      </w:r>
    </w:p>
    <w:p>
      <w:pPr>
        <w:spacing w:before="600"/>
        <w:jc w:val="center"/>
      </w:pPr>
      <w:r>
        <w:rPr>
          <w:b/>
          <w:color w:val="102A43"/>
          <w:sz w:val="60"/>
        </w:rPr>
        <w:t>User Manual</w:t>
      </w:r>
    </w:p>
    <w:p>
      <w:pPr>
        <w:spacing w:before="200"/>
        <w:jc w:val="center"/>
      </w:pPr>
      <w:r>
        <w:rPr>
          <w:b/>
          <w:color w:val="1F7FC0"/>
          <w:sz w:val="32"/>
        </w:rPr>
        <w:t>Field Workflow &amp; Reference</w:t>
      </w:r>
    </w:p>
    <w:p>
      <w:pPr>
        <w:jc w:val="center"/>
      </w:pPr>
      <w:r>
        <w:rPr>
          <w:i/>
          <w:color w:val="555F6B"/>
          <w:sz w:val="23"/>
        </w:rPr>
        <w:t>The complete process — from camera setup to finished report</w:t>
      </w:r>
    </w:p>
    <w:p>
      <w:pPr>
        <w:spacing w:before="800"/>
        <w:jc w:val="center"/>
      </w:pPr>
      <w:r>
        <w:rPr>
          <w:color w:val="102A43"/>
          <w:sz w:val="22"/>
        </w:rPr>
        <w:t>Version 1.31.10</w:t>
      </w:r>
    </w:p>
    <w:p>
      <w:r>
        <w:br w:type="page"/>
      </w:r>
    </w:p>
    <w:p>
      <w:pPr>
        <w:pStyle w:val="Heading1"/>
      </w:pPr>
      <w:r>
        <w:t>Contents</w:t>
      </w:r>
    </w:p>
    <w:p>
      <w:r>
        <w:fldChar w:fldCharType="begin"/>
        <w:instrText xml:space="preserve">TOC \o "1-2" \h \z \u</w:instrText>
        <w:fldChar w:fldCharType="separate"/>
        <w:r>
          <w:t>Right-click and choose “Update Field” to build the table of contents.</w:t>
        </w:r>
        <w:fldChar w:fldCharType="end"/>
      </w:r>
    </w:p>
    <w:p>
      <w:pPr>
        <w:pStyle w:val="Heading1"/>
        <w:pageBreakBefore/>
      </w:pPr>
      <w:r>
        <w:t>1.  Overview &amp; What You'll Need</w:t>
      </w:r>
    </w:p>
    <w:p>
      <w:r>
        <w:rPr>
          <w:b w:val="0"/>
          <w:i w:val="0"/>
        </w:rPr>
        <w:t>DTI Suite turns a set of thermal photos and an Excel asset list into a finished, professional electrical infrared inspection report — in Microsoft Word and PDF. This manual walks the entire process end to end, from preparing your camera in the office to delivering the final report to your client.</w:t>
      </w:r>
    </w:p>
    <w:p>
      <w:pPr>
        <w:pStyle w:val="Heading2"/>
      </w:pPr>
      <w:r>
        <w:t>The big picture</w:t>
      </w:r>
    </w:p>
    <w:p>
      <w:r>
        <w:t>The workflow is a straight line. Once your one-time setup is done, every job follows the same seven moves:</w:t>
      </w:r>
    </w:p>
    <w:p>
      <w:pPr>
        <w:tabs>
          <w:tab w:pos="720" w:val="left"/>
        </w:tabs>
        <w:spacing w:after="60"/>
        <w:ind w:left="720" w:hanging="403"/>
      </w:pPr>
      <w:r>
        <w:t>1.</w:t>
        <w:tab/>
      </w:r>
      <w:r/>
      <w:r>
        <w:rPr>
          <w:b/>
        </w:rPr>
        <w:t>Build your TextTable</w:t>
      </w:r>
      <w:r>
        <w:t xml:space="preserve"> — the set of fields your technicians fill in on each photo.</w:t>
      </w:r>
    </w:p>
    <w:p>
      <w:pPr>
        <w:tabs>
          <w:tab w:pos="720" w:val="left"/>
        </w:tabs>
        <w:spacing w:after="60"/>
        <w:ind w:left="720" w:hanging="403"/>
      </w:pPr>
      <w:r>
        <w:t>2.</w:t>
        <w:tab/>
      </w:r>
      <w:r/>
      <w:r>
        <w:rPr>
          <w:b/>
        </w:rPr>
        <w:t>Upload the TextTable to the camera</w:t>
      </w:r>
      <w:r>
        <w:t xml:space="preserve"> so those fields are ready in the field.</w:t>
      </w:r>
    </w:p>
    <w:p>
      <w:pPr>
        <w:tabs>
          <w:tab w:pos="720" w:val="left"/>
        </w:tabs>
        <w:spacing w:after="60"/>
        <w:ind w:left="720" w:hanging="403"/>
      </w:pPr>
      <w:r>
        <w:t>3.</w:t>
        <w:tab/>
      </w:r>
      <w:r/>
      <w:r>
        <w:rPr>
          <w:b/>
        </w:rPr>
        <w:t>Capture &amp; tag photos</w:t>
      </w:r>
      <w:r>
        <w:t xml:space="preserve"> on site, tagging each one with its TextTable fields.</w:t>
      </w:r>
    </w:p>
    <w:p>
      <w:pPr>
        <w:tabs>
          <w:tab w:pos="720" w:val="left"/>
        </w:tabs>
        <w:spacing w:after="60"/>
        <w:ind w:left="720" w:hanging="403"/>
      </w:pPr>
      <w:r>
        <w:t>4.</w:t>
        <w:tab/>
      </w:r>
      <w:r/>
      <w:r>
        <w:rPr>
          <w:b/>
        </w:rPr>
        <w:t>Transfer the photos</w:t>
      </w:r>
      <w:r>
        <w:t xml:space="preserve"> to your PC by SD card.</w:t>
      </w:r>
    </w:p>
    <w:p>
      <w:pPr>
        <w:tabs>
          <w:tab w:pos="720" w:val="left"/>
        </w:tabs>
        <w:spacing w:after="60"/>
        <w:ind w:left="720" w:hanging="403"/>
      </w:pPr>
      <w:r>
        <w:t>5.</w:t>
        <w:tab/>
      </w:r>
      <w:r/>
      <w:r>
        <w:rPr>
          <w:b/>
        </w:rPr>
        <w:t>Fill in the Asset Inventory List</w:t>
      </w:r>
      <w:r>
        <w:t xml:space="preserve"> (the Excel workbook) — one row per asset.</w:t>
      </w:r>
    </w:p>
    <w:p>
      <w:pPr>
        <w:tabs>
          <w:tab w:pos="720" w:val="left"/>
        </w:tabs>
        <w:spacing w:after="60"/>
        <w:ind w:left="720" w:hanging="403"/>
      </w:pPr>
      <w:r>
        <w:t>6.</w:t>
        <w:tab/>
      </w:r>
      <w:r/>
      <w:r>
        <w:rPr>
          <w:b/>
        </w:rPr>
        <w:t>Pair &amp; edit</w:t>
      </w:r>
      <w:r>
        <w:t xml:space="preserve"> — match photos to inventory rows and fine-tune each thermal image.</w:t>
      </w:r>
    </w:p>
    <w:p>
      <w:pPr>
        <w:tabs>
          <w:tab w:pos="720" w:val="left"/>
        </w:tabs>
        <w:spacing w:after="60"/>
        <w:ind w:left="720" w:hanging="403"/>
      </w:pPr>
      <w:r>
        <w:t>7.</w:t>
        <w:tab/>
      </w:r>
      <w:r/>
      <w:r>
        <w:rPr>
          <w:b/>
        </w:rPr>
        <w:t>Build the report</w:t>
      </w:r>
      <w:r>
        <w:t xml:space="preserve"> — confirm the client details, review the Word draft, and finalize the PDF.</w:t>
      </w:r>
    </w:p>
    <w:tbl>
      <w:tblPr>
        <w:tblW w:type="auto" w:w="0"/>
        <w:jc w:val="center"/>
        <w:tblLook w:firstColumn="1" w:firstRow="1" w:lastColumn="0" w:lastRow="0" w:noHBand="0" w:noVBand="1" w:val="04A0"/>
      </w:tblPr>
      <w:tblGrid>
        <w:gridCol w:w="9360"/>
      </w:tblGrid>
      <w:tr>
        <w:tc>
          <w:tcPr>
            <w:tcW w:type="dxa" w:w="9360"/>
            <w:shd w:val="clear" w:fill="E8F1FB"/>
            <w:tcBorders>
              <w:left w:val="single" w:sz="24" w:color="1F7FC0"/>
            </w:tcBorders>
          </w:tcPr>
          <w:p>
            <w:pPr>
              <w:spacing w:after="40"/>
            </w:pPr>
            <w:r/>
            <w:r>
              <w:rPr>
                <w:b/>
                <w:color w:val="102A43"/>
              </w:rPr>
              <w:t xml:space="preserve">Tip  </w:t>
            </w:r>
            <w:r>
              <w:t xml:space="preserve">Keep each job in its </w:t>
            </w:r>
            <w:r>
              <w:rPr>
                <w:b/>
              </w:rPr>
              <w:t>own folder</w:t>
            </w:r>
            <w:r>
              <w:t xml:space="preserve"> — the Excel workbook and all of its photos together. The app, your backups, and your future self will all thank you.</w:t>
            </w:r>
          </w:p>
        </w:tc>
      </w:tr>
    </w:tbl>
    <w:p>
      <w:pPr>
        <w:spacing w:after="40"/>
      </w:pPr>
    </w:p>
    <w:p>
      <w:pPr>
        <w:pStyle w:val="Heading2"/>
      </w:pPr>
      <w:r>
        <w:t>What you'll need</w:t>
      </w:r>
    </w:p>
    <w:tbl>
      <w:tblPr>
        <w:tblStyle w:val="TableGrid"/>
        <w:tblW w:type="auto" w:w="0"/>
        <w:jc w:val="center"/>
        <w:tblLook w:firstColumn="1" w:firstRow="1" w:lastColumn="0" w:lastRow="0" w:noHBand="0" w:noVBand="1" w:val="04A0"/>
      </w:tblPr>
      <w:tblGrid>
        <w:gridCol w:w="4680"/>
        <w:gridCol w:w="4680"/>
      </w:tblGrid>
      <w:tr>
        <w:tc>
          <w:tcPr>
            <w:tcW w:type="dxa" w:w="2448"/>
            <w:shd w:val="clear" w:fill="D8E1EC"/>
          </w:tcPr>
          <w:p>
            <w:r>
              <w:rPr>
                <w:b/>
                <w:color w:val="102A43"/>
                <w:sz w:val="20"/>
              </w:rPr>
              <w:t>Item</w:t>
            </w:r>
          </w:p>
        </w:tc>
        <w:tc>
          <w:tcPr>
            <w:tcW w:type="dxa" w:w="6912"/>
            <w:shd w:val="clear" w:fill="D8E1EC"/>
          </w:tcPr>
          <w:p>
            <w:r>
              <w:rPr>
                <w:b/>
                <w:color w:val="102A43"/>
                <w:sz w:val="20"/>
              </w:rPr>
              <w:t>Details</w:t>
            </w:r>
          </w:p>
        </w:tc>
      </w:tr>
      <w:tr>
        <w:tc>
          <w:tcPr>
            <w:tcW w:type="dxa" w:w="2448"/>
          </w:tcPr>
          <w:p>
            <w:r>
              <w:rPr>
                <w:sz w:val="20"/>
              </w:rPr>
              <w:t>Thermal camera</w:t>
            </w:r>
          </w:p>
        </w:tc>
        <w:tc>
          <w:tcPr>
            <w:tcW w:type="dxa" w:w="6912"/>
          </w:tcPr>
          <w:p>
            <w:r>
              <w:rPr>
                <w:sz w:val="20"/>
              </w:rPr>
              <w:t>A FLIR Exx / Txxx-series radiometric camera (e.g. E54, E96, T540, T560).</w:t>
            </w:r>
          </w:p>
        </w:tc>
      </w:tr>
      <w:tr>
        <w:tc>
          <w:tcPr>
            <w:tcW w:type="dxa" w:w="2448"/>
          </w:tcPr>
          <w:p>
            <w:r>
              <w:rPr>
                <w:sz w:val="20"/>
              </w:rPr>
              <w:t>SD card + reader</w:t>
            </w:r>
          </w:p>
        </w:tc>
        <w:tc>
          <w:tcPr>
            <w:tcW w:type="dxa" w:w="6912"/>
          </w:tcPr>
          <w:p>
            <w:r>
              <w:rPr>
                <w:sz w:val="20"/>
              </w:rPr>
              <w:t>Used both to load the TextTable onto the camera and to bring photos back.</w:t>
            </w:r>
          </w:p>
        </w:tc>
      </w:tr>
      <w:tr>
        <w:tc>
          <w:tcPr>
            <w:tcW w:type="dxa" w:w="2448"/>
          </w:tcPr>
          <w:p>
            <w:r>
              <w:rPr>
                <w:sz w:val="20"/>
              </w:rPr>
              <w:t>Windows PC</w:t>
            </w:r>
          </w:p>
        </w:tc>
        <w:tc>
          <w:tcPr>
            <w:tcW w:type="dxa" w:w="6912"/>
          </w:tcPr>
          <w:p>
            <w:r>
              <w:rPr>
                <w:sz w:val="20"/>
              </w:rPr>
              <w:t>Windows 10 or 11 with Microsoft Word installed (Word produces the final PDF).</w:t>
            </w:r>
          </w:p>
        </w:tc>
      </w:tr>
      <w:tr>
        <w:tc>
          <w:tcPr>
            <w:tcW w:type="dxa" w:w="2448"/>
          </w:tcPr>
          <w:p>
            <w:r>
              <w:rPr>
                <w:sz w:val="20"/>
              </w:rPr>
              <w:t>DTI Suite</w:t>
            </w:r>
          </w:p>
        </w:tc>
        <w:tc>
          <w:tcPr>
            <w:tcW w:type="dxa" w:w="6912"/>
          </w:tcPr>
          <w:p>
            <w:r>
              <w:rPr>
                <w:sz w:val="20"/>
              </w:rPr>
              <w:t>This application (the packaged build you were given).</w:t>
            </w:r>
          </w:p>
        </w:tc>
      </w:tr>
      <w:tr>
        <w:tc>
          <w:tcPr>
            <w:tcW w:type="dxa" w:w="2448"/>
          </w:tcPr>
          <w:p>
            <w:r>
              <w:rPr>
                <w:sz w:val="20"/>
              </w:rPr>
              <w:t>Asset Inventory List</w:t>
            </w:r>
          </w:p>
        </w:tc>
        <w:tc>
          <w:tcPr>
            <w:tcW w:type="dxa" w:w="6912"/>
          </w:tcPr>
          <w:p>
            <w:r>
              <w:rPr>
                <w:sz w:val="20"/>
              </w:rPr>
              <w:t>The Excel workbook (Asset Inventory List … .xlsm) that drives the report.</w:t>
            </w:r>
          </w:p>
        </w:tc>
      </w:tr>
    </w:tbl>
    <w:tbl>
      <w:tblPr>
        <w:tblW w:type="auto" w:w="0"/>
        <w:jc w:val="center"/>
        <w:tblLook w:firstColumn="1" w:firstRow="1" w:lastColumn="0" w:lastRow="0" w:noHBand="0" w:noVBand="1" w:val="04A0"/>
      </w:tblPr>
      <w:tblGrid>
        <w:gridCol w:w="9360"/>
      </w:tblGrid>
      <w:tr>
        <w:tc>
          <w:tcPr>
            <w:tcW w:type="dxa" w:w="9360"/>
            <w:shd w:val="clear" w:fill="EEF2F6"/>
            <w:tcBorders>
              <w:left w:val="single" w:sz="24" w:color="8794A3"/>
            </w:tcBorders>
          </w:tcPr>
          <w:p>
            <w:pPr>
              <w:spacing w:after="40"/>
            </w:pPr>
            <w:r/>
            <w:r>
              <w:rPr>
                <w:b/>
                <w:color w:val="102A43"/>
              </w:rPr>
              <w:t xml:space="preserve">Note  </w:t>
            </w:r>
            <w:r>
              <w:t xml:space="preserve">Your inspection work runs </w:t>
            </w:r>
            <w:r>
              <w:rPr>
                <w:b/>
              </w:rPr>
              <w:t>on your own machine</w:t>
            </w:r>
            <w:r>
              <w:t xml:space="preserve"> — your photos, spreadsheets and reports never leave your PC. DTI Suite is an annual subscription, so it does contact the internet for three things only: to verify your licence, to check for updates, and to send any feedback you choose to submit. None of your inspection data is uploaded.</w:t>
            </w:r>
          </w:p>
        </w:tc>
      </w:tr>
    </w:tbl>
    <w:p>
      <w:pPr>
        <w:spacing w:after="40"/>
      </w:pPr>
    </w:p>
    <w:p>
      <w:r>
        <w:br w:type="page"/>
      </w:r>
    </w:p>
    <w:p>
      <w:pPr>
        <w:pStyle w:val="Heading1"/>
      </w:pPr>
      <w:r>
        <w:t>2.  One-Time Setup</w:t>
      </w:r>
    </w:p>
    <w:p>
      <w:r>
        <w:rPr>
          <w:b w:val="0"/>
          <w:i w:val="0"/>
        </w:rPr>
        <w:t>You only need to do this once. After that, the program remembers your choices.</w:t>
      </w:r>
    </w:p>
    <w:p>
      <w:pPr>
        <w:pStyle w:val="Heading2"/>
      </w:pPr>
      <w:r>
        <w:t>2.1  Install &amp; launch</w:t>
      </w:r>
    </w:p>
    <w:p>
      <w:pPr>
        <w:tabs>
          <w:tab w:pos="720" w:val="left"/>
        </w:tabs>
        <w:spacing w:after="60"/>
        <w:ind w:left="720" w:hanging="403"/>
      </w:pPr>
      <w:r>
        <w:t>1.</w:t>
        <w:tab/>
      </w:r>
      <w:r>
        <w:t xml:space="preserve">Run the DTI Suite installer (or unzip the package) and launch </w:t>
      </w:r>
      <w:r>
        <w:rPr>
          <w:b/>
        </w:rPr>
        <w:t>DTI Suite</w:t>
      </w:r>
      <w:r>
        <w:t>.</w:t>
      </w:r>
    </w:p>
    <w:p>
      <w:pPr>
        <w:tabs>
          <w:tab w:pos="720" w:val="left"/>
        </w:tabs>
        <w:spacing w:after="60"/>
        <w:ind w:left="720" w:hanging="403"/>
      </w:pPr>
      <w:r>
        <w:t>2.</w:t>
        <w:tab/>
      </w:r>
      <w:r>
        <w:t xml:space="preserve">On the </w:t>
      </w:r>
      <w:r>
        <w:rPr>
          <w:b/>
        </w:rPr>
        <w:t>first launch</w:t>
      </w:r>
      <w:r>
        <w:t xml:space="preserve">, read and accept the </w:t>
      </w:r>
      <w:r>
        <w:rPr>
          <w:b/>
        </w:rPr>
        <w:t>License Agreement</w:t>
      </w:r>
      <w:r>
        <w:t xml:space="preserve"> to continue.</w:t>
      </w:r>
    </w:p>
    <w:p>
      <w:pPr>
        <w:tabs>
          <w:tab w:pos="720" w:val="left"/>
        </w:tabs>
        <w:spacing w:after="60"/>
        <w:ind w:left="720" w:hanging="403"/>
      </w:pPr>
      <w:r>
        <w:t>3.</w:t>
        <w:tab/>
      </w:r>
      <w:r>
        <w:t xml:space="preserve">Your </w:t>
      </w:r>
      <w:r>
        <w:rPr>
          <w:b/>
        </w:rPr>
        <w:t>14-day free trial</w:t>
      </w:r>
      <w:r>
        <w:t xml:space="preserve"> then begins automatically — no credit card, every feature unlocked.</w:t>
      </w:r>
    </w:p>
    <w:tbl>
      <w:tblPr>
        <w:tblW w:type="auto" w:w="0"/>
        <w:jc w:val="center"/>
        <w:tblLook w:firstColumn="1" w:firstRow="1" w:lastColumn="0" w:lastRow="0" w:noHBand="0" w:noVBand="1" w:val="04A0"/>
      </w:tblPr>
      <w:tblGrid>
        <w:gridCol w:w="9360"/>
      </w:tblGrid>
      <w:tr>
        <w:tc>
          <w:tcPr>
            <w:tcW w:type="dxa" w:w="9360"/>
            <w:shd w:val="clear" w:fill="EEF2F6"/>
            <w:tcBorders>
              <w:left w:val="single" w:sz="24" w:color="8794A3"/>
            </w:tcBorders>
          </w:tcPr>
          <w:p>
            <w:pPr>
              <w:spacing w:after="40"/>
            </w:pPr>
            <w:r/>
            <w:r>
              <w:rPr>
                <w:b/>
                <w:color w:val="102A43"/>
              </w:rPr>
              <w:t xml:space="preserve">Note  </w:t>
            </w:r>
            <w:r>
              <w:t xml:space="preserve">During the trial </w:t>
            </w:r>
            <w:r>
              <w:rPr>
                <w:b/>
              </w:rPr>
              <w:t>every feature is fully unlocked</w:t>
            </w:r>
            <w:r>
              <w:t xml:space="preserve"> and the app never stops mid-job. When the trial ends, an active subscription — activated on this PC — is needed to keep building reports. See section 11 to subscribe and activate.</w:t>
            </w:r>
          </w:p>
        </w:tc>
      </w:tr>
    </w:tbl>
    <w:p>
      <w:pPr>
        <w:spacing w:after="40"/>
      </w:pPr>
    </w:p>
    <w:p>
      <w:pPr>
        <w:pStyle w:val="Heading2"/>
      </w:pPr>
      <w:r>
        <w:t>2.2  Set your Company Info</w:t>
      </w:r>
    </w:p>
    <w:p>
      <w:r>
        <w:t xml:space="preserve">Open </w:t>
      </w:r>
      <w:r>
        <w:rPr>
          <w:b/>
        </w:rPr>
        <w:t>File ▸ Company Info</w:t>
      </w:r>
      <w:r>
        <w:t xml:space="preserve"> and enter your company name, address, contact details, logo, and the inspector’s name and credentials. These appear on the report’s cover and footer.</w:t>
      </w:r>
    </w:p>
    <w:p>
      <w:pPr>
        <w:pStyle w:val="ListBullet"/>
      </w:pPr>
      <w:r>
        <w:t>Click Upload logo… to set the logo that brands every report. Until you do, reports are generated with no logo — so enter your details before your first client job.</w:t>
      </w:r>
    </w:p>
    <w:p>
      <w:pPr>
        <w:pStyle w:val="ListBullet"/>
      </w:pPr>
      <w:r>
        <w:t>Set a separate On-photo logo if you want a different (e.g. smaller) logo burned into the thermal images than the one on the report cover. Leave it blank to reuse the report logo.</w:t>
      </w:r>
    </w:p>
    <w:p>
      <w:pPr>
        <w:pStyle w:val="ListBullet"/>
      </w:pPr>
      <w:r>
        <w:t>Use Export to save these details to a file, and Import to load them on another PC — handy when you set up a second workstation.</w:t>
      </w:r>
    </w:p>
    <w:p>
      <w:pPr>
        <w:pStyle w:val="Heading2"/>
      </w:pPr>
      <w:r>
        <w:t>2.3  Set your Preferences</w:t>
      </w:r>
    </w:p>
    <w:p>
      <w:r>
        <w:t xml:space="preserve">Open </w:t>
      </w:r>
      <w:r>
        <w:rPr>
          <w:b/>
        </w:rPr>
        <w:t>Tools ▸ Options</w:t>
      </w:r>
      <w:r>
        <w:t>. The settings are grouped into six tabs:</w:t>
      </w:r>
    </w:p>
    <w:tbl>
      <w:tblPr>
        <w:tblStyle w:val="TableGrid"/>
        <w:tblW w:type="auto" w:w="0"/>
        <w:jc w:val="center"/>
        <w:tblLook w:firstColumn="1" w:firstRow="1" w:lastColumn="0" w:lastRow="0" w:noHBand="0" w:noVBand="1" w:val="04A0"/>
      </w:tblPr>
      <w:tblGrid>
        <w:gridCol w:w="4680"/>
        <w:gridCol w:w="4680"/>
      </w:tblGrid>
      <w:tr>
        <w:tc>
          <w:tcPr>
            <w:tcW w:type="dxa" w:w="1872"/>
            <w:shd w:val="clear" w:fill="D8E1EC"/>
          </w:tcPr>
          <w:p>
            <w:r>
              <w:rPr>
                <w:b/>
                <w:color w:val="102A43"/>
                <w:sz w:val="20"/>
              </w:rPr>
              <w:t>Tab</w:t>
            </w:r>
          </w:p>
        </w:tc>
        <w:tc>
          <w:tcPr>
            <w:tcW w:type="dxa" w:w="7488"/>
            <w:shd w:val="clear" w:fill="D8E1EC"/>
          </w:tcPr>
          <w:p>
            <w:r>
              <w:rPr>
                <w:b/>
                <w:color w:val="102A43"/>
                <w:sz w:val="20"/>
              </w:rPr>
              <w:t>What you can set</w:t>
            </w:r>
          </w:p>
        </w:tc>
      </w:tr>
      <w:tr>
        <w:tc>
          <w:tcPr>
            <w:tcW w:type="dxa" w:w="1872"/>
          </w:tcPr>
          <w:p>
            <w:r>
              <w:rPr>
                <w:sz w:val="20"/>
              </w:rPr>
              <w:t>General</w:t>
            </w:r>
          </w:p>
        </w:tc>
        <w:tc>
          <w:tcPr>
            <w:tcW w:type="dxa" w:w="7488"/>
          </w:tcPr>
          <w:p>
            <w:r>
              <w:rPr>
                <w:sz w:val="20"/>
              </w:rPr>
              <w:t>Confirm-before-exit, whether to confirm client info before each build, the default re-inspection standard (NFPA 70B, CSA Z463, or both), and a button to replay the guided tour.</w:t>
            </w:r>
          </w:p>
        </w:tc>
      </w:tr>
      <w:tr>
        <w:tc>
          <w:tcPr>
            <w:tcW w:type="dxa" w:w="1872"/>
          </w:tcPr>
          <w:p>
            <w:r>
              <w:rPr>
                <w:sz w:val="20"/>
              </w:rPr>
              <w:t>Appearance</w:t>
            </w:r>
          </w:p>
        </w:tc>
        <w:tc>
          <w:tcPr>
            <w:tcW w:type="dxa" w:w="7488"/>
          </w:tcPr>
          <w:p>
            <w:r>
              <w:rPr>
                <w:sz w:val="20"/>
              </w:rPr>
              <w:t>Light or Dark theme, and the default colour palette for the image editor.</w:t>
            </w:r>
          </w:p>
        </w:tc>
      </w:tr>
      <w:tr>
        <w:tc>
          <w:tcPr>
            <w:tcW w:type="dxa" w:w="1872"/>
          </w:tcPr>
          <w:p>
            <w:r>
              <w:rPr>
                <w:sz w:val="20"/>
              </w:rPr>
              <w:t>Overlays</w:t>
            </w:r>
          </w:p>
        </w:tc>
        <w:tc>
          <w:tcPr>
            <w:tcW w:type="dxa" w:w="7488"/>
          </w:tcPr>
          <w:p>
            <w:r>
              <w:rPr>
                <w:sz w:val="20"/>
              </w:rPr>
              <w:t>Which on-photo markers show by default (box, spot, max, panel, scale bar, logo…) and the overlay size.</w:t>
            </w:r>
          </w:p>
        </w:tc>
      </w:tr>
      <w:tr>
        <w:tc>
          <w:tcPr>
            <w:tcW w:type="dxa" w:w="1872"/>
          </w:tcPr>
          <w:p>
            <w:r>
              <w:rPr>
                <w:sz w:val="20"/>
              </w:rPr>
              <w:t>Regional</w:t>
            </w:r>
          </w:p>
        </w:tc>
        <w:tc>
          <w:tcPr>
            <w:tcW w:type="dxa" w:w="7488"/>
          </w:tcPr>
          <w:p>
            <w:r>
              <w:rPr>
                <w:sz w:val="20"/>
              </w:rPr>
              <w:t>Temperature unit (°C / °F) and distance unit (m / ft). Language and time zone are reserved for a future update.</w:t>
            </w:r>
          </w:p>
        </w:tc>
      </w:tr>
      <w:tr>
        <w:tc>
          <w:tcPr>
            <w:tcW w:type="dxa" w:w="1872"/>
          </w:tcPr>
          <w:p>
            <w:r>
              <w:rPr>
                <w:sz w:val="20"/>
              </w:rPr>
              <w:t>Folders</w:t>
            </w:r>
          </w:p>
        </w:tc>
        <w:tc>
          <w:tcPr>
            <w:tcW w:type="dxa" w:w="7488"/>
          </w:tcPr>
          <w:p>
            <w:r>
              <w:rPr>
                <w:sz w:val="20"/>
              </w:rPr>
              <w:t>A default folder so the Open and Save dialogs always start where your jobs live.</w:t>
            </w:r>
          </w:p>
        </w:tc>
      </w:tr>
      <w:tr>
        <w:tc>
          <w:tcPr>
            <w:tcW w:type="dxa" w:w="1872"/>
          </w:tcPr>
          <w:p>
            <w:r>
              <w:rPr>
                <w:sz w:val="20"/>
              </w:rPr>
              <w:t>Subscription</w:t>
            </w:r>
          </w:p>
        </w:tc>
        <w:tc>
          <w:tcPr>
            <w:tcW w:type="dxa" w:w="7488"/>
          </w:tcPr>
          <w:p>
            <w:r>
              <w:rPr>
                <w:sz w:val="20"/>
              </w:rPr>
              <w:t>Your licence status and renewal date, plus Activate a licence key, Manage subscription &amp; auto-renewal (opens your billing portal), and Deactivate this machine.</w:t>
            </w:r>
          </w:p>
        </w:tc>
      </w:tr>
    </w:tbl>
    <w:tbl>
      <w:tblPr>
        <w:tblW w:type="auto" w:w="0"/>
        <w:jc w:val="center"/>
        <w:tblLook w:firstColumn="1" w:firstRow="1" w:lastColumn="0" w:lastRow="0" w:noHBand="0" w:noVBand="1" w:val="04A0"/>
      </w:tblPr>
      <w:tblGrid>
        <w:gridCol w:w="9360"/>
      </w:tblGrid>
      <w:tr>
        <w:tc>
          <w:tcPr>
            <w:tcW w:type="dxa" w:w="9360"/>
            <w:shd w:val="clear" w:fill="E8F1FB"/>
            <w:tcBorders>
              <w:left w:val="single" w:sz="24" w:color="1F7FC0"/>
            </w:tcBorders>
          </w:tcPr>
          <w:p>
            <w:pPr>
              <w:spacing w:after="40"/>
            </w:pPr>
            <w:r/>
            <w:r>
              <w:rPr>
                <w:b/>
                <w:color w:val="102A43"/>
              </w:rPr>
              <w:t xml:space="preserve">Tip  </w:t>
            </w:r>
            <w:r>
              <w:t xml:space="preserve">Set </w:t>
            </w:r>
            <w:r>
              <w:rPr>
                <w:b/>
              </w:rPr>
              <w:t>Temperature</w:t>
            </w:r>
            <w:r>
              <w:t xml:space="preserve"> and </w:t>
            </w:r>
            <w:r>
              <w:rPr>
                <w:b/>
              </w:rPr>
              <w:t>Distance</w:t>
            </w:r>
            <w:r>
              <w:t xml:space="preserve"> here once. Every report and every on-photo label then uses those units automatically — including the ΔT values, which are converted correctly as temperature *differences*.</w:t>
            </w:r>
          </w:p>
        </w:tc>
      </w:tr>
    </w:tbl>
    <w:p>
      <w:pPr>
        <w:spacing w:after="40"/>
      </w:pPr>
    </w:p>
    <w:p>
      <w:r>
        <w:br w:type="page"/>
      </w:r>
    </w:p>
    <w:p>
      <w:pPr>
        <w:pStyle w:val="Heading1"/>
      </w:pPr>
      <w:r>
        <w:t>3.  Build Your TextTable (Annotation Template)</w:t>
      </w:r>
    </w:p>
    <w:p>
      <w:r>
        <w:t xml:space="preserve">A </w:t>
      </w:r>
      <w:r>
        <w:rPr>
          <w:b/>
        </w:rPr>
        <w:t>TextTable</w:t>
      </w:r>
      <w:r>
        <w:t xml:space="preserve"> is the list of fields your technician fills in on each photo, right on the camera. Because the camera saves those answers inside the photo, DTI Suite can read them back automatically when it builds the report — no retyping.</w:t>
      </w:r>
    </w:p>
    <w:p>
      <w:pPr>
        <w:pStyle w:val="Heading2"/>
      </w:pPr>
      <w:r>
        <w:t>The fields</w:t>
      </w:r>
    </w:p>
    <w:p>
      <w:r>
        <w:t xml:space="preserve">The template is deliberately short — on the camera you only tag what is specific to each photo. It has </w:t>
      </w:r>
      <w:r>
        <w:rPr>
          <w:b/>
        </w:rPr>
        <w:t>four fields</w:t>
      </w:r>
      <w:r>
        <w:t>:</w:t>
      </w:r>
    </w:p>
    <w:tbl>
      <w:tblPr>
        <w:tblStyle w:val="TableGrid"/>
        <w:tblW w:type="auto" w:w="0"/>
        <w:jc w:val="center"/>
        <w:tblLook w:firstColumn="1" w:firstRow="1" w:lastColumn="0" w:lastRow="0" w:noHBand="0" w:noVBand="1" w:val="04A0"/>
      </w:tblPr>
      <w:tblGrid>
        <w:gridCol w:w="4680"/>
        <w:gridCol w:w="4680"/>
      </w:tblGrid>
      <w:tr>
        <w:tc>
          <w:tcPr>
            <w:tcW w:type="dxa" w:w="2736"/>
            <w:shd w:val="clear" w:fill="D8E1EC"/>
          </w:tcPr>
          <w:p>
            <w:r>
              <w:rPr>
                <w:b/>
                <w:color w:val="102A43"/>
                <w:sz w:val="20"/>
              </w:rPr>
              <w:t>Field</w:t>
            </w:r>
          </w:p>
        </w:tc>
        <w:tc>
          <w:tcPr>
            <w:tcW w:type="dxa" w:w="6624"/>
            <w:shd w:val="clear" w:fill="D8E1EC"/>
          </w:tcPr>
          <w:p>
            <w:r>
              <w:rPr>
                <w:b/>
                <w:color w:val="102A43"/>
                <w:sz w:val="20"/>
              </w:rPr>
              <w:t>Purpose</w:t>
            </w:r>
          </w:p>
        </w:tc>
      </w:tr>
      <w:tr>
        <w:tc>
          <w:tcPr>
            <w:tcW w:type="dxa" w:w="2736"/>
          </w:tcPr>
          <w:p>
            <w:r>
              <w:rPr>
                <w:sz w:val="20"/>
              </w:rPr>
              <w:t>Asset No.</w:t>
            </w:r>
          </w:p>
        </w:tc>
        <w:tc>
          <w:tcPr>
            <w:tcW w:type="dxa" w:w="6624"/>
          </w:tcPr>
          <w:p>
            <w:r>
              <w:rPr>
                <w:sz w:val="20"/>
              </w:rPr>
              <w:t>The unique number that links this photo to its row in the Asset Inventory List — it must match the &lt;b&gt;Asset Tag No.&lt;/b&gt; in the spreadsheet (free text; enter it carefully).</w:t>
            </w:r>
          </w:p>
        </w:tc>
      </w:tr>
      <w:tr>
        <w:tc>
          <w:tcPr>
            <w:tcW w:type="dxa" w:w="2736"/>
          </w:tcPr>
          <w:p>
            <w:r>
              <w:rPr>
                <w:sz w:val="20"/>
              </w:rPr>
              <w:t>Problem</w:t>
            </w:r>
          </w:p>
        </w:tc>
        <w:tc>
          <w:tcPr>
            <w:tcW w:type="dxa" w:w="6624"/>
          </w:tcPr>
          <w:p>
            <w:r>
              <w:rPr>
                <w:sz w:val="20"/>
              </w:rPr>
              <w:t>The observed condition / fault type (drop-down).</w:t>
            </w:r>
          </w:p>
        </w:tc>
      </w:tr>
      <w:tr>
        <w:tc>
          <w:tcPr>
            <w:tcW w:type="dxa" w:w="2736"/>
          </w:tcPr>
          <w:p>
            <w:r>
              <w:rPr>
                <w:sz w:val="20"/>
              </w:rPr>
              <w:t>Recommendation</w:t>
            </w:r>
          </w:p>
        </w:tc>
        <w:tc>
          <w:tcPr>
            <w:tcW w:type="dxa" w:w="6624"/>
          </w:tcPr>
          <w:p>
            <w:r>
              <w:rPr>
                <w:sz w:val="20"/>
              </w:rPr>
              <w:t>The standardized recommendation wording that flows into the report (drop-down).</w:t>
            </w:r>
          </w:p>
        </w:tc>
      </w:tr>
      <w:tr>
        <w:tc>
          <w:tcPr>
            <w:tcW w:type="dxa" w:w="2736"/>
          </w:tcPr>
          <w:p>
            <w:r>
              <w:rPr>
                <w:sz w:val="20"/>
              </w:rPr>
              <w:t>Action</w:t>
            </w:r>
          </w:p>
        </w:tc>
        <w:tc>
          <w:tcPr>
            <w:tcW w:type="dxa" w:w="6624"/>
          </w:tcPr>
          <w:p>
            <w:r>
              <w:rPr>
                <w:sz w:val="20"/>
              </w:rPr>
              <w:t>The recommended action (drop-down).</w:t>
            </w:r>
          </w:p>
        </w:tc>
      </w:tr>
    </w:tbl>
    <w:tbl>
      <w:tblPr>
        <w:tblW w:type="auto" w:w="0"/>
        <w:jc w:val="center"/>
        <w:tblLook w:firstColumn="1" w:firstRow="1" w:lastColumn="0" w:lastRow="0" w:noHBand="0" w:noVBand="1" w:val="04A0"/>
      </w:tblPr>
      <w:tblGrid>
        <w:gridCol w:w="9360"/>
      </w:tblGrid>
      <w:tr>
        <w:tc>
          <w:tcPr>
            <w:tcW w:type="dxa" w:w="9360"/>
            <w:shd w:val="clear" w:fill="EEF2F6"/>
            <w:tcBorders>
              <w:left w:val="single" w:sz="24" w:color="8794A3"/>
            </w:tcBorders>
          </w:tcPr>
          <w:p>
            <w:pPr>
              <w:spacing w:after="40"/>
            </w:pPr>
            <w:r/>
            <w:r>
              <w:rPr>
                <w:b/>
                <w:color w:val="102A43"/>
              </w:rPr>
              <w:t xml:space="preserve">Note  </w:t>
            </w:r>
            <w:r>
              <w:t>Location, Equipment Label, Equipment type and Rating are &lt;b&gt;not&lt;/b&gt; entered on the camera — DTI Suite pulls them from the Asset Inventory List, matched by the asset number. That is less to type in the field and keeps every report consistent.</w:t>
            </w:r>
          </w:p>
        </w:tc>
      </w:tr>
    </w:tbl>
    <w:p>
      <w:pPr>
        <w:spacing w:after="40"/>
      </w:pPr>
    </w:p>
    <w:p>
      <w:pPr>
        <w:pStyle w:val="Heading2"/>
      </w:pPr>
      <w:r>
        <w:t>Edit the template in the app</w:t>
      </w:r>
    </w:p>
    <w:p>
      <w:pPr>
        <w:tabs>
          <w:tab w:pos="720" w:val="left"/>
        </w:tabs>
        <w:spacing w:after="60"/>
        <w:ind w:left="720" w:hanging="403"/>
      </w:pPr>
      <w:r>
        <w:t>1.</w:t>
        <w:tab/>
      </w:r>
      <w:r>
        <w:t>Open the image editor by double-clicking a photo.</w:t>
      </w:r>
    </w:p>
    <w:p>
      <w:pPr>
        <w:tabs>
          <w:tab w:pos="720" w:val="left"/>
        </w:tabs>
        <w:spacing w:after="60"/>
        <w:ind w:left="720" w:hanging="403"/>
      </w:pPr>
      <w:r>
        <w:t>2.</w:t>
        <w:tab/>
      </w:r>
      <w:r>
        <w:t>In the Annotations panel you’ll see the current fields. Use Add field… to add one, and set its drop-down options.</w:t>
      </w:r>
    </w:p>
    <w:p>
      <w:pPr>
        <w:tabs>
          <w:tab w:pos="720" w:val="left"/>
        </w:tabs>
        <w:spacing w:after="60"/>
        <w:ind w:left="720" w:hanging="403"/>
      </w:pPr>
      <w:r>
        <w:t>3.</w:t>
        <w:tab/>
      </w:r>
      <w:r>
        <w:t xml:space="preserve">When the template is the way you want it, click Export annotation template and save it as a </w:t>
      </w:r>
      <w:r>
        <w:rPr>
          <w:b/>
        </w:rPr>
        <w:t>.tcf</w:t>
      </w:r>
      <w:r>
        <w:t xml:space="preserve"> file (for example, DTI-TextTable.tcf).</w:t>
      </w:r>
    </w:p>
    <w:tbl>
      <w:tblPr>
        <w:tblW w:type="auto" w:w="0"/>
        <w:jc w:val="center"/>
        <w:tblLook w:firstColumn="1" w:firstRow="1" w:lastColumn="0" w:lastRow="0" w:noHBand="0" w:noVBand="1" w:val="04A0"/>
      </w:tblPr>
      <w:tblGrid>
        <w:gridCol w:w="9360"/>
      </w:tblGrid>
      <w:tr>
        <w:tc>
          <w:tcPr>
            <w:tcW w:type="dxa" w:w="9360"/>
            <w:shd w:val="clear" w:fill="EEF2F6"/>
            <w:tcBorders>
              <w:left w:val="single" w:sz="24" w:color="8794A3"/>
            </w:tcBorders>
          </w:tcPr>
          <w:p>
            <w:pPr>
              <w:spacing w:after="40"/>
            </w:pPr>
            <w:r/>
            <w:r>
              <w:rPr>
                <w:b/>
                <w:color w:val="102A43"/>
              </w:rPr>
              <w:t xml:space="preserve">Note  </w:t>
            </w:r>
            <w:r>
              <w:t xml:space="preserve">The </w:t>
            </w:r>
            <w:r>
              <w:rPr>
                <w:b/>
              </w:rPr>
              <w:t>.tcf</w:t>
            </w:r>
            <w:r>
              <w:t xml:space="preserve"> file is just a small text file listing each field and its drop-down choices. You can keep it in your job-template folder and reuse it on every camera.</w:t>
            </w:r>
          </w:p>
        </w:tc>
      </w:tr>
    </w:tbl>
    <w:p>
      <w:pPr>
        <w:spacing w:after="40"/>
      </w:pPr>
    </w:p>
    <w:tbl>
      <w:tblPr>
        <w:tblW w:type="auto" w:w="0"/>
        <w:jc w:val="center"/>
        <w:tblLook w:firstColumn="1" w:firstRow="1" w:lastColumn="0" w:lastRow="0" w:noHBand="0" w:noVBand="1" w:val="04A0"/>
      </w:tblPr>
      <w:tblGrid>
        <w:gridCol w:w="9360"/>
      </w:tblGrid>
      <w:tr>
        <w:tc>
          <w:tcPr>
            <w:tcW w:type="dxa" w:w="9360"/>
            <w:shd w:val="clear" w:fill="E8F1FB"/>
            <w:tcBorders>
              <w:left w:val="single" w:sz="24" w:color="1F7FC0"/>
            </w:tcBorders>
          </w:tcPr>
          <w:p>
            <w:pPr>
              <w:spacing w:after="40"/>
            </w:pPr>
            <w:r/>
            <w:r>
              <w:rPr>
                <w:b/>
                <w:color w:val="102A43"/>
              </w:rPr>
              <w:t xml:space="preserve">Tip  </w:t>
            </w:r>
            <w:r>
              <w:t xml:space="preserve">If you close the template editor (or Company Info, or Options) with changes you haven’t saved, DTI Suite asks whether to </w:t>
            </w:r>
            <w:r>
              <w:rPr>
                <w:b/>
              </w:rPr>
              <w:t>Save</w:t>
            </w:r>
            <w:r>
              <w:t xml:space="preserve">, </w:t>
            </w:r>
            <w:r>
              <w:rPr>
                <w:b/>
              </w:rPr>
              <w:t>Don’t save</w:t>
            </w:r>
            <w:r>
              <w:t xml:space="preserve">, or </w:t>
            </w:r>
            <w:r>
              <w:rPr>
                <w:b/>
              </w:rPr>
              <w:t>Cancel</w:t>
            </w:r>
            <w:r>
              <w:t xml:space="preserve"> first — so an accidental close never throws your work away. Close with nothing changed and it just closes, no questions.</w:t>
            </w:r>
          </w:p>
        </w:tc>
      </w:tr>
    </w:tbl>
    <w:p>
      <w:pPr>
        <w:spacing w:after="40"/>
      </w:pPr>
    </w:p>
    <w:p>
      <w:r>
        <w:br w:type="page"/>
      </w:r>
    </w:p>
    <w:p>
      <w:pPr>
        <w:pStyle w:val="Heading1"/>
      </w:pPr>
      <w:r>
        <w:t>4.  Upload the TextTable to the Camera</w:t>
      </w:r>
    </w:p>
    <w:p>
      <w:r>
        <w:t xml:space="preserve">This loads your field template onto the </w:t>
      </w:r>
      <w:r>
        <w:rPr>
          <w:b/>
        </w:rPr>
        <w:t>FLIR Exx / Txxx</w:t>
      </w:r>
      <w:r>
        <w:t xml:space="preserve"> camera using the </w:t>
      </w:r>
      <w:r>
        <w:rPr>
          <w:b/>
        </w:rPr>
        <w:t>SD card</w:t>
      </w:r>
      <w:r>
        <w:t>.</w:t>
      </w:r>
    </w:p>
    <w:p>
      <w:pPr>
        <w:tabs>
          <w:tab w:pos="720" w:val="left"/>
        </w:tabs>
        <w:spacing w:after="60"/>
        <w:ind w:left="720" w:hanging="403"/>
      </w:pPr>
      <w:r>
        <w:t>1.</w:t>
        <w:tab/>
      </w:r>
      <w:r>
        <w:t>Take the SD card out of the camera and put it into your PC’s card reader.</w:t>
      </w:r>
    </w:p>
    <w:p>
      <w:pPr>
        <w:tabs>
          <w:tab w:pos="720" w:val="left"/>
        </w:tabs>
        <w:spacing w:after="60"/>
        <w:ind w:left="720" w:hanging="403"/>
      </w:pPr>
      <w:r>
        <w:t>2.</w:t>
        <w:tab/>
      </w:r>
      <w:r>
        <w:t xml:space="preserve">Copy your </w:t>
      </w:r>
      <w:r>
        <w:rPr>
          <w:b/>
        </w:rPr>
        <w:t>.tcf</w:t>
      </w:r>
      <w:r>
        <w:t xml:space="preserve"> TextTable file onto the SD card.</w:t>
      </w:r>
    </w:p>
    <w:p>
      <w:pPr>
        <w:tabs>
          <w:tab w:pos="720" w:val="left"/>
        </w:tabs>
        <w:spacing w:after="60"/>
        <w:ind w:left="720" w:hanging="403"/>
      </w:pPr>
      <w:r>
        <w:t>3.</w:t>
        <w:tab/>
      </w:r>
      <w:r>
        <w:t xml:space="preserve">Put the card back in the camera and, from the camera’s menu, </w:t>
      </w:r>
      <w:r>
        <w:rPr>
          <w:b/>
        </w:rPr>
        <w:t>import / select</w:t>
      </w:r>
      <w:r>
        <w:t xml:space="preserve"> the text-annotation template so the fields are active for new photos.</w:t>
      </w:r>
    </w:p>
    <w:tbl>
      <w:tblPr>
        <w:tblW w:type="auto" w:w="0"/>
        <w:jc w:val="center"/>
        <w:tblLook w:firstColumn="1" w:firstRow="1" w:lastColumn="0" w:lastRow="0" w:noHBand="0" w:noVBand="1" w:val="04A0"/>
      </w:tblPr>
      <w:tblGrid>
        <w:gridCol w:w="9360"/>
      </w:tblGrid>
      <w:tr>
        <w:tc>
          <w:tcPr>
            <w:tcW w:type="dxa" w:w="9360"/>
            <w:shd w:val="clear" w:fill="FBF0D6"/>
            <w:tcBorders>
              <w:left w:val="single" w:sz="24" w:color="C8902C"/>
            </w:tcBorders>
          </w:tcPr>
          <w:p>
            <w:pPr>
              <w:spacing w:after="40"/>
            </w:pPr>
            <w:r/>
            <w:r>
              <w:rPr>
                <w:b/>
                <w:color w:val="102A43"/>
              </w:rPr>
              <w:t xml:space="preserve">Important  </w:t>
            </w:r>
            <w:r>
              <w:t xml:space="preserve">The exact folder on the card and the camera-menu path differ slightly between FLIR models and firmware versions. Use your camera’s manual (or your existing </w:t>
            </w:r>
            <w:r>
              <w:rPr>
                <w:b/>
              </w:rPr>
              <w:t>FLIR Tools Instructions</w:t>
            </w:r>
            <w:r>
              <w:t xml:space="preserve"> sheet) to confirm the precise location for your unit. Tell me your exact model and firmware and I’ll lock these steps down to the letter.</w:t>
            </w:r>
          </w:p>
        </w:tc>
      </w:tr>
    </w:tbl>
    <w:p>
      <w:pPr>
        <w:spacing w:after="40"/>
      </w:pPr>
    </w:p>
    <w:p>
      <w:r>
        <w:br w:type="page"/>
      </w:r>
    </w:p>
    <w:p>
      <w:pPr>
        <w:pStyle w:val="Heading1"/>
      </w:pPr>
      <w:r>
        <w:t>5.  In the Field: Capturing &amp; Tagging Photos</w:t>
      </w:r>
    </w:p>
    <w:p>
      <w:r>
        <w:rPr>
          <w:b w:val="0"/>
          <w:i w:val="0"/>
        </w:rPr>
        <w:t>With the template loaded, each photo carries its own data. Aim for one clean, well-focused radiometric image per asset.</w:t>
      </w:r>
    </w:p>
    <w:p>
      <w:pPr>
        <w:tabs>
          <w:tab w:pos="720" w:val="left"/>
        </w:tabs>
        <w:spacing w:after="60"/>
        <w:ind w:left="720" w:hanging="403"/>
      </w:pPr>
      <w:r>
        <w:t>1.</w:t>
        <w:tab/>
      </w:r>
      <w:r/>
      <w:r>
        <w:rPr>
          <w:b/>
        </w:rPr>
        <w:t>Frame and focus</w:t>
      </w:r>
      <w:r>
        <w:t xml:space="preserve"> the target. A sharp image gives accurate temperatures.</w:t>
      </w:r>
    </w:p>
    <w:p>
      <w:pPr>
        <w:tabs>
          <w:tab w:pos="720" w:val="left"/>
        </w:tabs>
        <w:spacing w:after="60"/>
        <w:ind w:left="720" w:hanging="403"/>
      </w:pPr>
      <w:r>
        <w:t>2.</w:t>
        <w:tab/>
      </w:r>
      <w:r/>
      <w:r>
        <w:rPr>
          <w:b/>
        </w:rPr>
        <w:t>Capture</w:t>
      </w:r>
      <w:r>
        <w:t xml:space="preserve"> the radiometric photo.</w:t>
      </w:r>
    </w:p>
    <w:p>
      <w:pPr>
        <w:tabs>
          <w:tab w:pos="720" w:val="left"/>
        </w:tabs>
        <w:spacing w:after="60"/>
        <w:ind w:left="720" w:hanging="403"/>
      </w:pPr>
      <w:r>
        <w:t>3.</w:t>
        <w:tab/>
      </w:r>
      <w:r/>
      <w:r>
        <w:rPr>
          <w:b/>
        </w:rPr>
        <w:t>Tag the photo</w:t>
      </w:r>
      <w:r>
        <w:t xml:space="preserve"> using the TextTable: type the </w:t>
      </w:r>
      <w:r>
        <w:rPr>
          <w:b/>
        </w:rPr>
        <w:t>Asset No.</w:t>
      </w:r>
      <w:r>
        <w:t xml:space="preserve"> and pick the Problem, Recommendation and Action. (Everything else — Location, Label, Equipment type and Rating — comes from the spreadsheet, so there is nothing else to type on the camera.)</w:t>
      </w:r>
    </w:p>
    <w:p>
      <w:pPr>
        <w:tabs>
          <w:tab w:pos="720" w:val="left"/>
        </w:tabs>
        <w:spacing w:after="60"/>
        <w:ind w:left="720" w:hanging="403"/>
      </w:pPr>
      <w:r>
        <w:t>4.</w:t>
        <w:tab/>
      </w:r>
      <w:r>
        <w:t>Move to the next asset and repeat.</w:t>
      </w:r>
    </w:p>
    <w:tbl>
      <w:tblPr>
        <w:tblW w:type="auto" w:w="0"/>
        <w:jc w:val="center"/>
        <w:tblLook w:firstColumn="1" w:firstRow="1" w:lastColumn="0" w:lastRow="0" w:noHBand="0" w:noVBand="1" w:val="04A0"/>
      </w:tblPr>
      <w:tblGrid>
        <w:gridCol w:w="9360"/>
      </w:tblGrid>
      <w:tr>
        <w:tc>
          <w:tcPr>
            <w:tcW w:type="dxa" w:w="9360"/>
            <w:shd w:val="clear" w:fill="E8F1FB"/>
            <w:tcBorders>
              <w:left w:val="single" w:sz="24" w:color="1F7FC0"/>
            </w:tcBorders>
          </w:tcPr>
          <w:p>
            <w:pPr>
              <w:spacing w:after="40"/>
            </w:pPr>
            <w:r/>
            <w:r>
              <w:rPr>
                <w:b/>
                <w:color w:val="102A43"/>
              </w:rPr>
              <w:t xml:space="preserve">Tip  </w:t>
            </w:r>
            <w:r>
              <w:t xml:space="preserve">The </w:t>
            </w:r>
            <w:r>
              <w:rPr>
                <w:b/>
              </w:rPr>
              <w:t>Asset No.</w:t>
            </w:r>
            <w:r>
              <w:t xml:space="preserve"> is the golden thread. It is the single value that links a photo to its row in the Asset Inventory List, so enter it carefully and keep it unique per asset.</w:t>
            </w:r>
          </w:p>
        </w:tc>
      </w:tr>
    </w:tbl>
    <w:p>
      <w:pPr>
        <w:spacing w:after="40"/>
      </w:pPr>
    </w:p>
    <w:p>
      <w:r>
        <w:t xml:space="preserve">Capture a </w:t>
      </w:r>
      <w:r>
        <w:rPr>
          <w:b/>
        </w:rPr>
        <w:t>visual (digital) photo</w:t>
      </w:r>
      <w:r>
        <w:t xml:space="preserve"> alongside the thermal one where it helps — it gives the report a clear before/after context for each finding.</w:t>
      </w:r>
    </w:p>
    <w:p>
      <w:r>
        <w:br w:type="page"/>
      </w:r>
    </w:p>
    <w:p>
      <w:pPr>
        <w:pStyle w:val="Heading1"/>
      </w:pPr>
      <w:r>
        <w:t>6.  Transfer Photos to the PC</w:t>
      </w:r>
    </w:p>
    <w:p>
      <w:pPr>
        <w:tabs>
          <w:tab w:pos="720" w:val="left"/>
        </w:tabs>
        <w:spacing w:after="60"/>
        <w:ind w:left="720" w:hanging="403"/>
      </w:pPr>
      <w:r>
        <w:t>1.</w:t>
        <w:tab/>
      </w:r>
      <w:r>
        <w:t>Power off the camera and remove the SD card.</w:t>
      </w:r>
    </w:p>
    <w:p>
      <w:pPr>
        <w:tabs>
          <w:tab w:pos="720" w:val="left"/>
        </w:tabs>
        <w:spacing w:after="60"/>
        <w:ind w:left="720" w:hanging="403"/>
      </w:pPr>
      <w:r>
        <w:t>2.</w:t>
        <w:tab/>
      </w:r>
      <w:r>
        <w:t>Insert the card into your PC’s card reader.</w:t>
      </w:r>
    </w:p>
    <w:p>
      <w:pPr>
        <w:tabs>
          <w:tab w:pos="720" w:val="left"/>
        </w:tabs>
        <w:spacing w:after="60"/>
        <w:ind w:left="720" w:hanging="403"/>
      </w:pPr>
      <w:r>
        <w:t>3.</w:t>
        <w:tab/>
      </w:r>
      <w:r>
        <w:t xml:space="preserve">Copy the photos into your </w:t>
      </w:r>
      <w:r>
        <w:rPr>
          <w:b/>
        </w:rPr>
        <w:t>job folder</w:t>
      </w:r>
      <w:r>
        <w:t xml:space="preserve"> (the same folder as that job’s Excel workbook).</w:t>
      </w:r>
    </w:p>
    <w:tbl>
      <w:tblPr>
        <w:tblW w:type="auto" w:w="0"/>
        <w:jc w:val="center"/>
        <w:tblLook w:firstColumn="1" w:firstRow="1" w:lastColumn="0" w:lastRow="0" w:noHBand="0" w:noVBand="1" w:val="04A0"/>
      </w:tblPr>
      <w:tblGrid>
        <w:gridCol w:w="9360"/>
      </w:tblGrid>
      <w:tr>
        <w:tc>
          <w:tcPr>
            <w:tcW w:type="dxa" w:w="9360"/>
            <w:shd w:val="clear" w:fill="FBF0D6"/>
            <w:tcBorders>
              <w:left w:val="single" w:sz="24" w:color="C8902C"/>
            </w:tcBorders>
          </w:tcPr>
          <w:p>
            <w:pPr>
              <w:spacing w:after="40"/>
            </w:pPr>
            <w:r/>
            <w:r>
              <w:rPr>
                <w:b/>
                <w:color w:val="102A43"/>
              </w:rPr>
              <w:t xml:space="preserve">Important  </w:t>
            </w:r>
            <w:r>
              <w:t xml:space="preserve">Don’t rename the photos in a way that strips the camera’s identifiers — the app uses the embedded data and the </w:t>
            </w:r>
            <w:r>
              <w:rPr>
                <w:b/>
              </w:rPr>
              <w:t>Asset No.</w:t>
            </w:r>
            <w:r>
              <w:t xml:space="preserve"> to match each photo to its row. Copying as-is is safest.</w:t>
            </w:r>
          </w:p>
        </w:tc>
      </w:tr>
    </w:tbl>
    <w:p>
      <w:pPr>
        <w:spacing w:after="40"/>
      </w:pPr>
    </w:p>
    <w:p>
      <w:pPr>
        <w:pStyle w:val="Heading1"/>
      </w:pPr>
      <w:r>
        <w:t>7.  The Asset Inventory List (Excel)</w:t>
      </w:r>
    </w:p>
    <w:p>
      <w:r>
        <w:t xml:space="preserve">The </w:t>
      </w:r>
      <w:r>
        <w:rPr>
          <w:b/>
        </w:rPr>
        <w:t>Asset Inventory List</w:t>
      </w:r>
      <w:r>
        <w:t xml:space="preserve"> workbook is the master record of every asset on the job. Each </w:t>
      </w:r>
      <w:r>
        <w:rPr>
          <w:b/>
        </w:rPr>
        <w:t>row is one asset</w:t>
      </w:r>
      <w:r>
        <w:t>, and DTI Suite reads it to build the report. The app finds the right sheet by its headings, so the current year’s sheet is used automatically.</w:t>
      </w:r>
    </w:p>
    <w:p>
      <w:pPr>
        <w:pStyle w:val="Heading2"/>
      </w:pPr>
      <w:r>
        <w:t>The columns</w:t>
      </w:r>
    </w:p>
    <w:tbl>
      <w:tblPr>
        <w:tblStyle w:val="TableGrid"/>
        <w:tblW w:type="auto" w:w="0"/>
        <w:jc w:val="center"/>
        <w:tblLook w:firstColumn="1" w:firstRow="1" w:lastColumn="0" w:lastRow="0" w:noHBand="0" w:noVBand="1" w:val="04A0"/>
      </w:tblPr>
      <w:tblGrid>
        <w:gridCol w:w="4680"/>
        <w:gridCol w:w="4680"/>
      </w:tblGrid>
      <w:tr>
        <w:tc>
          <w:tcPr>
            <w:tcW w:type="dxa" w:w="2736"/>
            <w:shd w:val="clear" w:fill="D8E1EC"/>
          </w:tcPr>
          <w:p>
            <w:r>
              <w:rPr>
                <w:b/>
                <w:color w:val="102A43"/>
                <w:sz w:val="20"/>
              </w:rPr>
              <w:t>Column</w:t>
            </w:r>
          </w:p>
        </w:tc>
        <w:tc>
          <w:tcPr>
            <w:tcW w:type="dxa" w:w="6624"/>
            <w:shd w:val="clear" w:fill="D8E1EC"/>
          </w:tcPr>
          <w:p>
            <w:r>
              <w:rPr>
                <w:b/>
                <w:color w:val="102A43"/>
                <w:sz w:val="20"/>
              </w:rPr>
              <w:t>What goes in it</w:t>
            </w:r>
          </w:p>
        </w:tc>
      </w:tr>
      <w:tr>
        <w:tc>
          <w:tcPr>
            <w:tcW w:type="dxa" w:w="2736"/>
          </w:tcPr>
          <w:p>
            <w:r>
              <w:rPr>
                <w:sz w:val="20"/>
              </w:rPr>
              <w:t>IR Photo #</w:t>
            </w:r>
          </w:p>
        </w:tc>
        <w:tc>
          <w:tcPr>
            <w:tcW w:type="dxa" w:w="6624"/>
          </w:tcPr>
          <w:p>
            <w:r>
              <w:rPr>
                <w:sz w:val="20"/>
              </w:rPr>
              <w:t>Sequence / reference number for the photo.</w:t>
            </w:r>
          </w:p>
        </w:tc>
      </w:tr>
      <w:tr>
        <w:tc>
          <w:tcPr>
            <w:tcW w:type="dxa" w:w="2736"/>
          </w:tcPr>
          <w:p>
            <w:r>
              <w:rPr>
                <w:sz w:val="20"/>
              </w:rPr>
              <w:t>Asset Tag No.</w:t>
            </w:r>
          </w:p>
        </w:tc>
        <w:tc>
          <w:tcPr>
            <w:tcW w:type="dxa" w:w="6624"/>
          </w:tcPr>
          <w:p>
            <w:r>
              <w:rPr>
                <w:sz w:val="20"/>
              </w:rPr>
              <w:t>The unique link to the tagged photo (must match the Asset No. you entered on the camera).</w:t>
            </w:r>
          </w:p>
        </w:tc>
      </w:tr>
      <w:tr>
        <w:tc>
          <w:tcPr>
            <w:tcW w:type="dxa" w:w="2736"/>
          </w:tcPr>
          <w:p>
            <w:r>
              <w:rPr>
                <w:sz w:val="20"/>
              </w:rPr>
              <w:t>Building / Room / Location</w:t>
            </w:r>
          </w:p>
        </w:tc>
        <w:tc>
          <w:tcPr>
            <w:tcW w:type="dxa" w:w="6624"/>
          </w:tcPr>
          <w:p>
            <w:r>
              <w:rPr>
                <w:sz w:val="20"/>
              </w:rPr>
              <w:t>Where the asset is.</w:t>
            </w:r>
          </w:p>
        </w:tc>
      </w:tr>
      <w:tr>
        <w:tc>
          <w:tcPr>
            <w:tcW w:type="dxa" w:w="2736"/>
          </w:tcPr>
          <w:p>
            <w:r>
              <w:rPr>
                <w:sz w:val="20"/>
              </w:rPr>
              <w:t>Equipment Label</w:t>
            </w:r>
          </w:p>
        </w:tc>
        <w:tc>
          <w:tcPr>
            <w:tcW w:type="dxa" w:w="6624"/>
          </w:tcPr>
          <w:p>
            <w:r>
              <w:rPr>
                <w:sz w:val="20"/>
              </w:rPr>
              <w:t>The asset’s nameplate / panel label.</w:t>
            </w:r>
          </w:p>
        </w:tc>
      </w:tr>
      <w:tr>
        <w:tc>
          <w:tcPr>
            <w:tcW w:type="dxa" w:w="2736"/>
          </w:tcPr>
          <w:p>
            <w:r>
              <w:rPr>
                <w:sz w:val="20"/>
              </w:rPr>
              <w:t>Equipment</w:t>
            </w:r>
          </w:p>
        </w:tc>
        <w:tc>
          <w:tcPr>
            <w:tcW w:type="dxa" w:w="6624"/>
          </w:tcPr>
          <w:p>
            <w:r>
              <w:rPr>
                <w:sz w:val="20"/>
              </w:rPr>
              <w:t>Equipment type (drop-down).</w:t>
            </w:r>
          </w:p>
        </w:tc>
      </w:tr>
      <w:tr>
        <w:tc>
          <w:tcPr>
            <w:tcW w:type="dxa" w:w="2736"/>
          </w:tcPr>
          <w:p>
            <w:r>
              <w:rPr>
                <w:sz w:val="20"/>
              </w:rPr>
              <w:t>Make / Model</w:t>
            </w:r>
          </w:p>
        </w:tc>
        <w:tc>
          <w:tcPr>
            <w:tcW w:type="dxa" w:w="6624"/>
          </w:tcPr>
          <w:p>
            <w:r>
              <w:rPr>
                <w:sz w:val="20"/>
              </w:rPr>
              <w:t>Manufacturer and model — a cascading drop-down (pick the Make, then its Models).</w:t>
            </w:r>
          </w:p>
        </w:tc>
      </w:tr>
      <w:tr>
        <w:tc>
          <w:tcPr>
            <w:tcW w:type="dxa" w:w="2736"/>
          </w:tcPr>
          <w:p>
            <w:r>
              <w:rPr>
                <w:sz w:val="20"/>
              </w:rPr>
              <w:t>Equipment Rating (V, A)</w:t>
            </w:r>
          </w:p>
        </w:tc>
        <w:tc>
          <w:tcPr>
            <w:tcW w:type="dxa" w:w="6624"/>
          </w:tcPr>
          <w:p>
            <w:r>
              <w:rPr>
                <w:sz w:val="20"/>
              </w:rPr>
              <w:t>Voltage / amperage rating (drop-down).</w:t>
            </w:r>
          </w:p>
        </w:tc>
      </w:tr>
      <w:tr>
        <w:tc>
          <w:tcPr>
            <w:tcW w:type="dxa" w:w="2736"/>
          </w:tcPr>
          <w:p>
            <w:r>
              <w:rPr>
                <w:sz w:val="20"/>
              </w:rPr>
              <w:t>Comments</w:t>
            </w:r>
          </w:p>
        </w:tc>
        <w:tc>
          <w:tcPr>
            <w:tcW w:type="dxa" w:w="6624"/>
          </w:tcPr>
          <w:p>
            <w:r>
              <w:rPr>
                <w:sz w:val="20"/>
              </w:rPr>
              <w:t>Free notes that appear with the finding — and where you type amperage readings (see the tip below).</w:t>
            </w:r>
          </w:p>
        </w:tc>
      </w:tr>
      <w:tr>
        <w:tc>
          <w:tcPr>
            <w:tcW w:type="dxa" w:w="2736"/>
          </w:tcPr>
          <w:p>
            <w:r>
              <w:rPr>
                <w:sz w:val="20"/>
              </w:rPr>
              <w:t>Severity / Criticality</w:t>
            </w:r>
          </w:p>
        </w:tc>
        <w:tc>
          <w:tcPr>
            <w:tcW w:type="dxa" w:w="6624"/>
          </w:tcPr>
          <w:p>
            <w:r>
              <w:rPr>
                <w:sz w:val="20"/>
              </w:rPr>
              <w:t>1–10 ratings that classify the finding (see Section 10).</w:t>
            </w:r>
          </w:p>
        </w:tc>
      </w:tr>
    </w:tbl>
    <w:tbl>
      <w:tblPr>
        <w:tblW w:type="auto" w:w="0"/>
        <w:jc w:val="center"/>
        <w:tblLook w:firstColumn="1" w:firstRow="1" w:lastColumn="0" w:lastRow="0" w:noHBand="0" w:noVBand="1" w:val="04A0"/>
      </w:tblPr>
      <w:tblGrid>
        <w:gridCol w:w="9360"/>
      </w:tblGrid>
      <w:tr>
        <w:tc>
          <w:tcPr>
            <w:tcW w:type="dxa" w:w="9360"/>
            <w:shd w:val="clear" w:fill="E8F1FB"/>
            <w:tcBorders>
              <w:left w:val="single" w:sz="24" w:color="1F7FC0"/>
            </w:tcBorders>
          </w:tcPr>
          <w:p>
            <w:pPr>
              <w:spacing w:after="40"/>
            </w:pPr>
            <w:r/>
            <w:r>
              <w:rPr>
                <w:b/>
                <w:color w:val="102A43"/>
              </w:rPr>
              <w:t xml:space="preserve">Tip  </w:t>
            </w:r>
            <w:r>
              <w:t>&lt;b&gt;Recording amperage?&lt;/b&gt; Type the phase currents in that asset’s &lt;b&gt;Comments&lt;/b&gt; cell and DTI Suite fills the report’s &lt;b&gt;Amperage Readings&lt;/b&gt; table for you (the Recorded column). Most formats work, for example: &lt;b&gt;“Phase A: 206A, B: 200A, C: 195A”&lt;/b&gt;, &lt;b&gt;“PhA 20 PhB 19A”&lt;/b&gt;, or a single overall reading like &lt;b&gt;“Current Draw: 68A”&lt;/b&gt; (applied to all three phases). The Rated column comes from the Equipment Rating (V, A) column automatically.</w:t>
            </w:r>
          </w:p>
        </w:tc>
      </w:tr>
    </w:tbl>
    <w:p>
      <w:pPr>
        <w:spacing w:after="40"/>
      </w:pPr>
    </w:p>
    <w:p>
      <w:pPr>
        <w:pStyle w:val="Heading2"/>
      </w:pPr>
      <w:r>
        <w:t>The drop-downs</w:t>
      </w:r>
    </w:p>
    <w:p>
      <w:r>
        <w:t xml:space="preserve">The workbook’s drop-downs keep entries clean and consistent. </w:t>
      </w:r>
      <w:r>
        <w:rPr>
          <w:b/>
        </w:rPr>
        <w:t>Make ▸ Model</w:t>
      </w:r>
      <w:r>
        <w:t xml:space="preserve"> cascades: choose the Make and the Model list narrows to that manufacturer. Equipment type, Rating, Severity and Criticality are drop-downs too.</w:t>
      </w:r>
    </w:p>
    <w:tbl>
      <w:tblPr>
        <w:tblW w:type="auto" w:w="0"/>
        <w:jc w:val="center"/>
        <w:tblLook w:firstColumn="1" w:firstRow="1" w:lastColumn="0" w:lastRow="0" w:noHBand="0" w:noVBand="1" w:val="04A0"/>
      </w:tblPr>
      <w:tblGrid>
        <w:gridCol w:w="9360"/>
      </w:tblGrid>
      <w:tr>
        <w:tc>
          <w:tcPr>
            <w:tcW w:type="dxa" w:w="9360"/>
            <w:shd w:val="clear" w:fill="EEF2F6"/>
            <w:tcBorders>
              <w:left w:val="single" w:sz="24" w:color="8794A3"/>
            </w:tcBorders>
          </w:tcPr>
          <w:p>
            <w:pPr>
              <w:spacing w:after="40"/>
            </w:pPr>
            <w:r/>
            <w:r>
              <w:rPr>
                <w:b/>
                <w:color w:val="102A43"/>
              </w:rPr>
              <w:t xml:space="preserve">Note  </w:t>
            </w:r>
            <w:r>
              <w:t xml:space="preserve">Adding a brand-new </w:t>
            </w:r>
            <w:r>
              <w:rPr>
                <w:b/>
              </w:rPr>
              <w:t>Make</w:t>
            </w:r>
            <w:r>
              <w:t xml:space="preserve"> takes three small steps in the workbook (add the name to the Make list, put its models in a column, and create a matching named range). It’s easy to get the last step wrong — ask me and I’ll wire a new make in for you.</w:t>
            </w:r>
          </w:p>
        </w:tc>
      </w:tr>
    </w:tbl>
    <w:p>
      <w:pPr>
        <w:spacing w:after="40"/>
      </w:pPr>
    </w:p>
    <w:p>
      <w:pPr>
        <w:pStyle w:val="Heading2"/>
      </w:pPr>
      <w:r>
        <w:t>Editing the list while you work</w:t>
      </w:r>
    </w:p>
    <w:p>
      <w:r>
        <w:t>Need to fix a severity or add a comment after you’ve loaded the workbook? You don’t have to reload anything:</w:t>
      </w:r>
    </w:p>
    <w:p>
      <w:pPr>
        <w:pStyle w:val="ListBullet"/>
      </w:pPr>
      <w:r>
        <w:t>Click **Edit in Excel** (next to the file name) to open the workbook in Excel.</w:t>
      </w:r>
    </w:p>
    <w:p>
      <w:pPr>
        <w:pStyle w:val="ListBullet"/>
      </w:pPr>
      <w:r>
        <w:t>Make your changes and **save** in Excel as normal.</w:t>
      </w:r>
    </w:p>
    <w:p>
      <w:pPr>
        <w:pStyle w:val="ListBullet"/>
      </w:pPr>
      <w:r>
        <w:t>DTI Suite notices the save and **refreshes the table automatically** — your included rows, your manual photo pairings and your filter text are all kept exactly as they were.</w:t>
      </w:r>
    </w:p>
    <w:tbl>
      <w:tblPr>
        <w:tblW w:type="auto" w:w="0"/>
        <w:jc w:val="center"/>
        <w:tblLook w:firstColumn="1" w:firstRow="1" w:lastColumn="0" w:lastRow="0" w:noHBand="0" w:noVBand="1" w:val="04A0"/>
      </w:tblPr>
      <w:tblGrid>
        <w:gridCol w:w="9360"/>
      </w:tblGrid>
      <w:tr>
        <w:tc>
          <w:tcPr>
            <w:tcW w:type="dxa" w:w="9360"/>
            <w:shd w:val="clear" w:fill="E8F1FB"/>
            <w:tcBorders>
              <w:left w:val="single" w:sz="24" w:color="1F7FC0"/>
            </w:tcBorders>
          </w:tcPr>
          <w:p>
            <w:pPr>
              <w:spacing w:after="40"/>
            </w:pPr>
            <w:r/>
            <w:r>
              <w:rPr>
                <w:b/>
                <w:color w:val="102A43"/>
              </w:rPr>
              <w:t xml:space="preserve">Tip  </w:t>
            </w:r>
            <w:r>
              <w:t>Excel stays the single source of truth for your asset data, so your macros, protected cells and formulas are never touched — you just see your edits appear in DTI Suite the moment you save.</w:t>
            </w:r>
          </w:p>
        </w:tc>
      </w:tr>
    </w:tbl>
    <w:p>
      <w:pPr>
        <w:spacing w:after="40"/>
      </w:pPr>
    </w:p>
    <w:p>
      <w:pPr>
        <w:pStyle w:val="Heading2"/>
      </w:pPr>
      <w:r>
        <w:t>Hidden rows are left out of the report</w:t>
      </w:r>
    </w:p>
    <w:p>
      <w:r/>
      <w:r>
        <w:rPr>
          <w:b/>
        </w:rPr>
        <w:t>Hiding a row removes that asset from the report</w:t>
      </w:r>
      <w:r>
        <w:t xml:space="preserve"> — from the findings pages, the executive dashboard, the totals and the trend charts alike. Any row that is hidden when the workbook is saved counts: rows you hid by hand, rows hidden by an active filter, and rows whose height was dragged to zero. This is the recommended way to mark assets </w:t>
      </w:r>
      <w:r>
        <w:rPr>
          <w:b/>
        </w:rPr>
        <w:t>out of scope</w:t>
      </w:r>
      <w:r>
        <w:t xml:space="preserve"> for a partial-building scan — hide their rows instead of deleting them, and simply unhide them next year.</w:t>
      </w:r>
    </w:p>
    <w:tbl>
      <w:tblPr>
        <w:tblW w:type="auto" w:w="0"/>
        <w:jc w:val="center"/>
        <w:tblLook w:firstColumn="1" w:firstRow="1" w:lastColumn="0" w:lastRow="0" w:noHBand="0" w:noVBand="1" w:val="04A0"/>
      </w:tblPr>
      <w:tblGrid>
        <w:gridCol w:w="9360"/>
      </w:tblGrid>
      <w:tr>
        <w:tc>
          <w:tcPr>
            <w:tcW w:type="dxa" w:w="9360"/>
            <w:shd w:val="clear" w:fill="EEF2F6"/>
            <w:tcBorders>
              <w:left w:val="single" w:sz="24" w:color="8794A3"/>
            </w:tcBorders>
          </w:tcPr>
          <w:p>
            <w:pPr>
              <w:spacing w:after="40"/>
            </w:pPr>
            <w:r/>
            <w:r>
              <w:rPr>
                <w:b/>
                <w:color w:val="102A43"/>
              </w:rPr>
              <w:t xml:space="preserve">Note  </w:t>
            </w:r>
            <w:r>
              <w:t>When DTI Suite loads the workbook it shows &lt;b&gt;“(N hidden assets excluded)”&lt;/b&gt; next to the file name, so a filter you forgot to clear before saving never shrinks a report unnoticed. If the count surprises you, unhide the rows (or clear the filter) in Excel, save, and the table refreshes automatically.</w:t>
            </w:r>
          </w:p>
        </w:tc>
      </w:tr>
    </w:tbl>
    <w:p>
      <w:pPr>
        <w:spacing w:after="40"/>
      </w:pPr>
    </w:p>
    <w:p>
      <w:r>
        <w:br w:type="page"/>
      </w:r>
    </w:p>
    <w:p>
      <w:pPr>
        <w:pStyle w:val="Heading1"/>
      </w:pPr>
      <w:r>
        <w:t>8.  Pair Photos to Inventory &amp; Edit Thermal Images</w:t>
      </w:r>
    </w:p>
    <w:p>
      <w:r>
        <w:rPr>
          <w:b w:val="0"/>
          <w:i w:val="0"/>
        </w:rPr>
        <w:t>Now bring the workbook and the photos together inside the app.</w:t>
      </w:r>
    </w:p>
    <w:p>
      <w:pPr>
        <w:tabs>
          <w:tab w:pos="720" w:val="left"/>
        </w:tabs>
        <w:spacing w:after="60"/>
        <w:ind w:left="720" w:hanging="403"/>
      </w:pPr>
      <w:r>
        <w:t>1.</w:t>
        <w:tab/>
      </w:r>
      <w:r>
        <w:t>Launch DTI Suite. The main window — Select Excel, Select Photos, pair, Build — is the starting point.</w:t>
      </w:r>
    </w:p>
    <w:p>
      <w:pPr>
        <w:tabs>
          <w:tab w:pos="720" w:val="left"/>
        </w:tabs>
        <w:spacing w:after="60"/>
        <w:ind w:left="720" w:hanging="403"/>
      </w:pPr>
      <w:r>
        <w:t>2.</w:t>
        <w:tab/>
      </w:r>
      <w:r>
        <w:t>Click Select Excel file… and choose the job’s workbook. The asset rows fill the table.</w:t>
      </w:r>
    </w:p>
    <w:p>
      <w:pPr>
        <w:tabs>
          <w:tab w:pos="720" w:val="left"/>
        </w:tabs>
        <w:spacing w:after="60"/>
        <w:ind w:left="720" w:hanging="403"/>
      </w:pPr>
      <w:r>
        <w:t>3.</w:t>
        <w:tab/>
      </w:r>
      <w:r>
        <w:t>Click Select Photos… and choose the job’s radiometric JPEGs. DTI Suite pairs each photo to its asset automatically as soon as the workbook and photos are loaded — eyeball the result and right-click any photo to fix a pairing by hand.</w:t>
      </w:r>
    </w:p>
    <w:p>
      <w:pPr>
        <w:tabs>
          <w:tab w:pos="720" w:val="left"/>
        </w:tabs>
        <w:spacing w:after="60"/>
        <w:ind w:left="720" w:hanging="403"/>
      </w:pPr>
      <w:r>
        <w:t>4.</w:t>
        <w:tab/>
      </w:r>
      <w:r>
        <w:t>Tick the Include box for every row that should appear in the report (rows with a photo and a severity are pre-ticked).</w:t>
      </w:r>
    </w:p>
    <w:p>
      <w:r>
        <w:t>On a large inventory you don’t have to scroll or click one row at a time:</w:t>
      </w:r>
    </w:p>
    <w:p>
      <w:pPr>
        <w:pStyle w:val="ListBullet"/>
      </w:pPr>
      <w:r>
        <w:t>Type in the **Filter assets** box above the table to show only the rows that match — it searches every column (asset number, location, equipment label, comments).</w:t>
      </w:r>
    </w:p>
    <w:p>
      <w:pPr>
        <w:pStyle w:val="ListBullet"/>
      </w:pPr>
      <w:r>
        <w:t>Use the **Include: All / None / With photos** buttons to tick or untick every *visible* row at once. “With photos” ticks only the rows that have a paired photo — handy for a photo-only report.</w:t>
      </w:r>
    </w:p>
    <w:p>
      <w:pPr>
        <w:pStyle w:val="ListBullet"/>
      </w:pPr>
      <w:r>
        <w:t>The status line shows how many assets are included and how many of your photos are paired (e.g. “18 of 20 photos paired · 2 unpaired”), so nothing slips through.</w:t>
      </w:r>
    </w:p>
    <w:tbl>
      <w:tblPr>
        <w:tblW w:type="auto" w:w="0"/>
        <w:jc w:val="center"/>
        <w:tblLook w:firstColumn="1" w:firstRow="1" w:lastColumn="0" w:lastRow="0" w:noHBand="0" w:noVBand="1" w:val="04A0"/>
      </w:tblPr>
      <w:tblGrid>
        <w:gridCol w:w="9360"/>
      </w:tblGrid>
      <w:tr>
        <w:tc>
          <w:tcPr>
            <w:tcW w:type="dxa" w:w="9360"/>
            <w:shd w:val="clear" w:fill="E8F1FB"/>
            <w:tcBorders>
              <w:left w:val="single" w:sz="24" w:color="1F7FC0"/>
            </w:tcBorders>
          </w:tcPr>
          <w:p>
            <w:pPr>
              <w:spacing w:after="40"/>
            </w:pPr>
            <w:r/>
            <w:r>
              <w:rPr>
                <w:b/>
                <w:color w:val="102A43"/>
              </w:rPr>
              <w:t xml:space="preserve">Tip  </w:t>
            </w:r>
            <w:r>
              <w:t xml:space="preserve">Finished a client and starting the next? Click </w:t>
            </w:r>
            <w:r>
              <w:rPr>
                <w:b/>
              </w:rPr>
              <w:t>New job…</w:t>
            </w:r>
            <w:r>
              <w:t xml:space="preserve"> (or File ▸ New Job, </w:t>
            </w:r>
            <w:r>
              <w:rPr>
                <w:b/>
              </w:rPr>
              <w:t>Ctrl+N</w:t>
            </w:r>
            <w:r>
              <w:t>) to clear the asset list and photos in one step. It asks first, and never deletes anything from your disk — it only clears what’s loaded in DTI Suite.</w:t>
            </w:r>
          </w:p>
        </w:tc>
      </w:tr>
    </w:tbl>
    <w:p>
      <w:pPr>
        <w:spacing w:after="40"/>
      </w:pPr>
    </w:p>
    <w:tbl>
      <w:tblPr>
        <w:tblW w:type="auto" w:w="0"/>
        <w:jc w:val="center"/>
        <w:tblLook w:firstColumn="1" w:firstRow="1" w:lastColumn="0" w:lastRow="0" w:noHBand="0" w:noVBand="1" w:val="04A0"/>
      </w:tblPr>
      <w:tblGrid>
        <w:gridCol w:w="9360"/>
      </w:tblGrid>
      <w:tr>
        <w:tc>
          <w:tcPr>
            <w:tcW w:type="dxa" w:w="9360"/>
            <w:shd w:val="clear" w:fill="E8F1FB"/>
            <w:tcBorders>
              <w:left w:val="single" w:sz="24" w:color="1F7FC0"/>
            </w:tcBorders>
          </w:tcPr>
          <w:p>
            <w:pPr>
              <w:spacing w:after="40"/>
            </w:pPr>
            <w:r/>
            <w:r>
              <w:rPr>
                <w:b/>
                <w:color w:val="102A43"/>
              </w:rPr>
              <w:t xml:space="preserve">Tip  </w:t>
            </w:r>
            <w:r>
              <w:t xml:space="preserve">Closed the app mid-job? On the next launch DTI Suite offers to </w:t>
            </w:r>
            <w:r>
              <w:rPr>
                <w:b/>
              </w:rPr>
              <w:t>resume your last job</w:t>
            </w:r>
            <w:r>
              <w:t xml:space="preserve"> — workbook, photos, included rows, manual pairings and filter, restored in one click. The status bar also tracks your editing progress (“17 of 20 edited”), and </w:t>
            </w:r>
            <w:r>
              <w:rPr>
                <w:b/>
              </w:rPr>
              <w:t>Tools ▸ Site History</w:t>
            </w:r>
            <w:r>
              <w:t xml:space="preserve"> shows every site you’ve reported on with each asset’s scan-by-scan ΔT record and a hotter/cooler trend flag.</w:t>
            </w:r>
          </w:p>
        </w:tc>
      </w:tr>
    </w:tbl>
    <w:p>
      <w:pPr>
        <w:spacing w:after="40"/>
      </w:pPr>
    </w:p>
    <w:tbl>
      <w:tblPr>
        <w:tblW w:type="auto" w:w="0"/>
        <w:jc w:val="center"/>
        <w:tblLook w:firstColumn="1" w:firstRow="1" w:lastColumn="0" w:lastRow="0" w:noHBand="0" w:noVBand="1" w:val="04A0"/>
      </w:tblPr>
      <w:tblGrid>
        <w:gridCol w:w="9360"/>
      </w:tblGrid>
      <w:tr>
        <w:tc>
          <w:tcPr>
            <w:tcW w:type="dxa" w:w="9360"/>
            <w:shd w:val="clear" w:fill="EEF2F6"/>
            <w:tcBorders>
              <w:left w:val="single" w:sz="24" w:color="8794A3"/>
            </w:tcBorders>
          </w:tcPr>
          <w:p>
            <w:pPr>
              <w:spacing w:after="40"/>
            </w:pPr>
            <w:r/>
            <w:r>
              <w:rPr>
                <w:b/>
                <w:color w:val="102A43"/>
              </w:rPr>
              <w:t xml:space="preserve">Note  </w:t>
            </w:r>
            <w:r>
              <w:t xml:space="preserve">The File menu carries the everyday actions with shortcuts: </w:t>
            </w:r>
            <w:r>
              <w:rPr>
                <w:b/>
              </w:rPr>
              <w:t>Ctrl+N</w:t>
            </w:r>
            <w:r>
              <w:t xml:space="preserve"> New Job, </w:t>
            </w:r>
            <w:r>
              <w:rPr>
                <w:b/>
              </w:rPr>
              <w:t>Ctrl+O</w:t>
            </w:r>
            <w:r>
              <w:t xml:space="preserve"> Open Inventory, </w:t>
            </w:r>
            <w:r>
              <w:rPr>
                <w:b/>
              </w:rPr>
              <w:t>Ctrl+Shift+O</w:t>
            </w:r>
            <w:r>
              <w:t xml:space="preserve"> Add Photos, </w:t>
            </w:r>
            <w:r>
              <w:rPr>
                <w:b/>
              </w:rPr>
              <w:t>Ctrl+B</w:t>
            </w:r>
            <w:r>
              <w:t xml:space="preserve"> Build Report.</w:t>
            </w:r>
          </w:p>
        </w:tc>
      </w:tr>
    </w:tbl>
    <w:p>
      <w:pPr>
        <w:spacing w:after="40"/>
      </w:pPr>
    </w:p>
    <w:p>
      <w:pPr>
        <w:pStyle w:val="Heading2"/>
      </w:pPr>
      <w:r>
        <w:t>Working with the photo tray</w:t>
      </w:r>
    </w:p>
    <w:p>
      <w:r>
        <w:t>The photo tray on the right gives you quick control over the job’s images:</w:t>
      </w:r>
    </w:p>
    <w:p>
      <w:pPr>
        <w:pStyle w:val="ListBullet"/>
      </w:pPr>
      <w:r>
        <w:t>Double-click a photo to open it in the thermal image editor.</w:t>
      </w:r>
    </w:p>
    <w:p>
      <w:pPr>
        <w:pStyle w:val="ListBullet"/>
      </w:pPr>
      <w:r>
        <w:t>Right-click a photo for Open &amp; edit, Pair with selected row, or Remove from list.</w:t>
      </w:r>
    </w:p>
    <w:p>
      <w:pPr>
        <w:pStyle w:val="ListBullet"/>
      </w:pPr>
      <w:r>
        <w:t>Add photos… appends more images without making you reselect the whole folder again.</w:t>
      </w:r>
    </w:p>
    <w:p>
      <w:pPr>
        <w:pStyle w:val="ListBullet"/>
      </w:pPr>
      <w:r>
        <w:t>Remove (or the Delete key) drops the selected photo(s) so they’re left out of the report.</w:t>
      </w:r>
    </w:p>
    <w:p>
      <w:pPr>
        <w:pStyle w:val="ListBullet"/>
      </w:pPr>
      <w:r>
        <w:t>A photo you’ve **edited** shows its markers on the thumbnail plus a small blue **✎ badge**, so at a glance you can tell which photos are done and which still need attention.</w:t>
      </w:r>
    </w:p>
    <w:p>
      <w:pPr>
        <w:pStyle w:val="ListBullet"/>
      </w:pPr>
      <w:r>
        <w:t>A **✓** in front of a photo’s name means it’s paired to an asset row (automatically or by hand) — an easy way to spot a photo that didn’t land anywhere.</w:t>
      </w:r>
    </w:p>
    <w:p>
      <w:pPr>
        <w:pStyle w:val="ListBullet"/>
      </w:pPr>
      <w:r>
        <w:t>Click any table column header to sort the rows A→Z, and again for Z→A — the report still builds the correct assets no matter how you sort the view.</w:t>
      </w:r>
    </w:p>
    <w:p>
      <w:pPr>
        <w:pStyle w:val="Heading2"/>
      </w:pPr>
      <w:r>
        <w:t>Fine-tune a thermal image</w:t>
      </w:r>
    </w:p>
    <w:p>
      <w:r>
        <w:t>Double-click a photo to open the editor. Here you can:</w:t>
      </w:r>
    </w:p>
    <w:p>
      <w:pPr>
        <w:pStyle w:val="ListBullet"/>
      </w:pPr>
      <w:r>
        <w:t>Add Spot and Box measurements, and read the ΔT (temperature difference) between them. Click a row in the measurements table to highlight its marker on the image, and press Delete to remove the selected marker.</w:t>
      </w:r>
    </w:p>
    <w:p>
      <w:pPr>
        <w:pStyle w:val="ListBullet"/>
      </w:pPr>
      <w:r>
        <w:t>**Zoom and pan** for precise placement: mouse wheel zooms up to 8× around the cursor, middle-button drag pans, **Ctrl+0** fits the image again.</w:t>
      </w:r>
    </w:p>
    <w:p>
      <w:pPr>
        <w:pStyle w:val="ListBullet"/>
      </w:pPr>
      <w:r>
        <w:t>**Undo / redo** any edit — markers, scale, palette, emissivity, isotherm — with **Ctrl+Z / Ctrl+Y**.</w:t>
      </w:r>
    </w:p>
    <w:p>
      <w:pPr>
        <w:pStyle w:val="ListBullet"/>
      </w:pPr>
      <w:r>
        <w:t>Set an **Isotherm** (Display panel): every pixel above / below / between your chosen temperatures is tinted a vivid colour — the classic exception view. It saves with the photo and prints on the report page.</w:t>
      </w:r>
    </w:p>
    <w:p>
      <w:pPr>
        <w:pStyle w:val="ListBullet"/>
      </w:pPr>
      <w:r>
        <w:t>**Side-by-side IR + digital** (press **S**): the thermal image on the left stays fully editable while the camera's digital photo sits alongside for context.</w:t>
      </w:r>
    </w:p>
    <w:p>
      <w:pPr>
        <w:pStyle w:val="ListBullet"/>
      </w:pPr>
      <w:r>
        <w:t>**Apply to all…** copies this photo's palette, isotherm, scale and emissivity to every photo in the job — tune one photo, apply to fifty. Markers and tags are never touched.</w:t>
      </w:r>
    </w:p>
    <w:p>
      <w:pPr>
        <w:pStyle w:val="ListBullet"/>
      </w:pPr>
      <w:r>
        <w:t>Change the colour palette (Iron, White-hot, Black-hot, Rainbow, Arctic) and the level / span. A live **temperature scale bar** down the right edge shows the current range, just like your camera.</w:t>
      </w:r>
    </w:p>
    <w:p>
      <w:pPr>
        <w:pStyle w:val="ListBullet"/>
      </w:pPr>
      <w:r>
        <w:t>See every temperature in **your own unit** — set °C or °F in Tools ▸ Options ▸ Regional and the readings, labels and the Min/Max boxes all follow it.</w:t>
      </w:r>
    </w:p>
    <w:p>
      <w:pPr>
        <w:pStyle w:val="ListBullet"/>
      </w:pPr>
      <w:r>
        <w:t>Adjust **emissivity** on FLIR radiometric photos to recompute the temperatures, with a Presets menu of common materials. (On cameras that don’t expose raw thermal data the control is disabled — set emissivity on the camera before capturing those.)</w:t>
      </w:r>
    </w:p>
    <w:p>
      <w:pPr>
        <w:pStyle w:val="ListBullet"/>
      </w:pPr>
      <w:r>
        <w:t>Flip to the camera’s **Digital (visible-light) photo** with the **Digital** button, or just press **D**. It’s a look-only view — press D again to return to the thermal image.</w:t>
      </w:r>
    </w:p>
    <w:p>
      <w:pPr>
        <w:pStyle w:val="ListBullet"/>
      </w:pPr>
      <w:r>
        <w:t>Toggle the on-photo overlays (box, spot, max, measurements panel, scale bar, logo) and set their size.</w:t>
      </w:r>
    </w:p>
    <w:p>
      <w:pPr>
        <w:pStyle w:val="ListBullet"/>
      </w:pPr>
      <w:r>
        <w:t>Fill in the annotation fields — these come straight from your **camera text-table template**, so the editor always shows exactly the fields you tag on the camera (nothing more).</w:t>
      </w:r>
    </w:p>
    <w:p>
      <w:pPr>
        <w:pStyle w:val="ListBullet"/>
      </w:pPr>
      <w:r>
        <w:t>**Export** the photo for an email or work order: the **Export** button saves either a marked-up **PNG** or the full **temperature grid as a CSV**.</w:t>
      </w:r>
    </w:p>
    <w:p>
      <w:pPr>
        <w:jc w:val="center"/>
      </w:pPr>
      <w:r>
        <w:drawing>
          <wp:inline xmlns:a="http://schemas.openxmlformats.org/drawingml/2006/main" xmlns:pic="http://schemas.openxmlformats.org/drawingml/2006/picture">
            <wp:extent cx="5943600" cy="4457700"/>
            <wp:docPr id="2" name="Picture 2"/>
            <wp:cNvGraphicFramePr>
              <a:graphicFrameLocks noChangeAspect="1"/>
            </wp:cNvGraphicFramePr>
            <a:graphic>
              <a:graphicData uri="http://schemas.openxmlformats.org/drawingml/2006/picture">
                <pic:pic>
                  <pic:nvPicPr>
                    <pic:cNvPr id="0" name="Overlay preview - default.png"/>
                    <pic:cNvPicPr/>
                  </pic:nvPicPr>
                  <pic:blipFill>
                    <a:blip r:embed="rId10"/>
                    <a:stretch>
                      <a:fillRect/>
                    </a:stretch>
                  </pic:blipFill>
                  <pic:spPr>
                    <a:xfrm>
                      <a:off x="0" y="0"/>
                      <a:ext cx="5943600" cy="4457700"/>
                    </a:xfrm>
                    <a:prstGeom prst="rect"/>
                  </pic:spPr>
                </pic:pic>
              </a:graphicData>
            </a:graphic>
          </wp:inline>
        </w:drawing>
      </w:r>
    </w:p>
    <w:p>
      <w:pPr>
        <w:jc w:val="center"/>
      </w:pPr>
      <w:r>
        <w:rPr>
          <w:i/>
          <w:color w:val="555F6B"/>
          <w:sz w:val="18"/>
        </w:rPr>
        <w:t>On-photo overlays — markers, the measurements panel, and the temperature scale bar.</w:t>
      </w:r>
    </w:p>
    <w:tbl>
      <w:tblPr>
        <w:tblW w:type="auto" w:w="0"/>
        <w:jc w:val="center"/>
        <w:tblLook w:firstColumn="1" w:firstRow="1" w:lastColumn="0" w:lastRow="0" w:noHBand="0" w:noVBand="1" w:val="04A0"/>
      </w:tblPr>
      <w:tblGrid>
        <w:gridCol w:w="9360"/>
      </w:tblGrid>
      <w:tr>
        <w:tc>
          <w:tcPr>
            <w:tcW w:type="dxa" w:w="9360"/>
            <w:shd w:val="clear" w:fill="E8F1FB"/>
            <w:tcBorders>
              <w:left w:val="single" w:sz="24" w:color="1F7FC0"/>
            </w:tcBorders>
          </w:tcPr>
          <w:p>
            <w:pPr>
              <w:spacing w:after="40"/>
            </w:pPr>
            <w:r/>
            <w:r>
              <w:rPr>
                <w:b/>
                <w:color w:val="102A43"/>
              </w:rPr>
              <w:t xml:space="preserve">Tip  </w:t>
            </w:r>
            <w:r>
              <w:t xml:space="preserve">The overlay defaults you set in Tools ▸ Options apply to </w:t>
            </w:r>
            <w:r>
              <w:rPr>
                <w:b/>
              </w:rPr>
              <w:t>newly opened</w:t>
            </w:r>
            <w:r>
              <w:t xml:space="preserve"> photos. Any photo you’ve already edited keeps its own saved settings, so your fine-tuning is never overwritten.</w:t>
            </w:r>
          </w:p>
        </w:tc>
      </w:tr>
    </w:tbl>
    <w:p>
      <w:pPr>
        <w:spacing w:after="40"/>
      </w:pPr>
    </w:p>
    <w:tbl>
      <w:tblPr>
        <w:tblW w:type="auto" w:w="0"/>
        <w:jc w:val="center"/>
        <w:tblLook w:firstColumn="1" w:firstRow="1" w:lastColumn="0" w:lastRow="0" w:noHBand="0" w:noVBand="1" w:val="04A0"/>
      </w:tblPr>
      <w:tblGrid>
        <w:gridCol w:w="9360"/>
      </w:tblGrid>
      <w:tr>
        <w:tc>
          <w:tcPr>
            <w:tcW w:type="dxa" w:w="9360"/>
            <w:shd w:val="clear" w:fill="EEF2F6"/>
            <w:tcBorders>
              <w:left w:val="single" w:sz="24" w:color="8794A3"/>
            </w:tcBorders>
          </w:tcPr>
          <w:p>
            <w:pPr>
              <w:spacing w:after="40"/>
            </w:pPr>
            <w:r/>
            <w:r>
              <w:rPr>
                <w:b/>
                <w:color w:val="102A43"/>
              </w:rPr>
              <w:t xml:space="preserve">Note  </w:t>
            </w:r>
            <w:r>
              <w:t>Your edits are saved into the photo automatically when you step to the next photo or close the editor — there’s nothing to remember to click. If a file can’t be written (open elsewhere, or mid-sync in Dropbox), DTI Suite tells you and keeps the window open so your work is never lost silently.</w:t>
            </w:r>
          </w:p>
        </w:tc>
      </w:tr>
    </w:tbl>
    <w:p>
      <w:pPr>
        <w:spacing w:after="40"/>
      </w:pPr>
    </w:p>
    <w:p>
      <w:r>
        <w:br w:type="page"/>
      </w:r>
    </w:p>
    <w:p>
      <w:pPr>
        <w:pStyle w:val="Heading1"/>
      </w:pPr>
      <w:r>
        <w:t>9.  Build the Report</w:t>
      </w:r>
    </w:p>
    <w:p>
      <w:pPr>
        <w:tabs>
          <w:tab w:pos="720" w:val="left"/>
        </w:tabs>
        <w:spacing w:after="60"/>
        <w:ind w:left="720" w:hanging="403"/>
      </w:pPr>
      <w:r>
        <w:t>1.</w:t>
        <w:tab/>
      </w:r>
      <w:r>
        <w:t xml:space="preserve">On the main window, click </w:t>
      </w:r>
      <w:r>
        <w:rPr>
          <w:b/>
        </w:rPr>
        <w:t>Build report</w:t>
      </w:r>
      <w:r>
        <w:t>.</w:t>
      </w:r>
    </w:p>
    <w:p>
      <w:pPr>
        <w:tabs>
          <w:tab w:pos="720" w:val="left"/>
        </w:tabs>
        <w:spacing w:after="60"/>
        <w:ind w:left="720" w:hanging="403"/>
      </w:pPr>
      <w:r>
        <w:t>2.</w:t>
        <w:tab/>
      </w:r>
      <w:r>
        <w:t xml:space="preserve">A </w:t>
      </w:r>
      <w:r>
        <w:rPr>
          <w:b/>
        </w:rPr>
        <w:t>Confirm client information</w:t>
      </w:r>
      <w:r>
        <w:t xml:space="preserve"> window appears, pre-filled from the workbook. Check it, edit anything that needs fixing, and click Build report. (Your edits apply to this report only.)</w:t>
      </w:r>
    </w:p>
    <w:p>
      <w:pPr>
        <w:tabs>
          <w:tab w:pos="720" w:val="left"/>
        </w:tabs>
        <w:spacing w:after="60"/>
        <w:ind w:left="720" w:hanging="403"/>
      </w:pPr>
      <w:r>
        <w:t>3.</w:t>
        <w:tab/>
      </w:r>
      <w:r>
        <w:t xml:space="preserve">The app builds an </w:t>
      </w:r>
      <w:r>
        <w:rPr>
          <w:b/>
        </w:rPr>
        <w:t>editable Word draft</w:t>
      </w:r>
      <w:r>
        <w:t xml:space="preserve"> and opens the progress window. The draft is saved right in your </w:t>
      </w:r>
      <w:r>
        <w:rPr>
          <w:b/>
        </w:rPr>
        <w:t>job folder</w:t>
      </w:r>
      <w:r>
        <w:t xml:space="preserve"> — the same folder as the Asset Inventory List — so if Word is closed by accident it’s a real file waiting for you, never a temp file that disappears. The progress window shows its exact location.</w:t>
      </w:r>
    </w:p>
    <w:p>
      <w:pPr>
        <w:tabs>
          <w:tab w:pos="720" w:val="left"/>
        </w:tabs>
        <w:spacing w:after="60"/>
        <w:ind w:left="720" w:hanging="403"/>
      </w:pPr>
      <w:r>
        <w:t>4.</w:t>
        <w:tab/>
      </w:r>
      <w:r>
        <w:t>Review and tweak the wording in Word if you like — it’s a normal .docx. Save in Word as usual.</w:t>
      </w:r>
    </w:p>
    <w:p>
      <w:pPr>
        <w:tabs>
          <w:tab w:pos="720" w:val="left"/>
        </w:tabs>
        <w:spacing w:after="60"/>
        <w:ind w:left="720" w:hanging="403"/>
      </w:pPr>
      <w:r>
        <w:t>5.</w:t>
        <w:tab/>
      </w:r>
      <w:r>
        <w:t xml:space="preserve">Click Finalize, choose where to save, and the app writes the finished </w:t>
      </w:r>
      <w:r>
        <w:rPr>
          <w:b/>
        </w:rPr>
        <w:t>PDF</w:t>
      </w:r>
      <w:r>
        <w:t xml:space="preserve"> (and keeps the </w:t>
      </w:r>
      <w:r>
        <w:rPr>
          <w:b/>
        </w:rPr>
        <w:t>Word</w:t>
      </w:r>
      <w:r>
        <w:t xml:space="preserve"> file with it).</w:t>
      </w:r>
    </w:p>
    <w:tbl>
      <w:tblPr>
        <w:tblW w:type="auto" w:w="0"/>
        <w:jc w:val="center"/>
        <w:tblLook w:firstColumn="1" w:firstRow="1" w:lastColumn="0" w:lastRow="0" w:noHBand="0" w:noVBand="1" w:val="04A0"/>
      </w:tblPr>
      <w:tblGrid>
        <w:gridCol w:w="9360"/>
      </w:tblGrid>
      <w:tr>
        <w:tc>
          <w:tcPr>
            <w:tcW w:type="dxa" w:w="9360"/>
            <w:shd w:val="clear" w:fill="EEF2F6"/>
            <w:tcBorders>
              <w:left w:val="single" w:sz="24" w:color="8794A3"/>
            </w:tcBorders>
          </w:tcPr>
          <w:p>
            <w:pPr>
              <w:spacing w:after="40"/>
            </w:pPr>
            <w:r/>
            <w:r>
              <w:rPr>
                <w:b/>
                <w:color w:val="102A43"/>
              </w:rPr>
              <w:t xml:space="preserve">Note  </w:t>
            </w:r>
            <w:r>
              <w:t xml:space="preserve">Finalizing uses </w:t>
            </w:r>
            <w:r>
              <w:rPr>
                <w:b/>
              </w:rPr>
              <w:t>Microsoft Word</w:t>
            </w:r>
            <w:r>
              <w:t xml:space="preserve"> to produce the PDF, so Word must be installed. Building the report itself needs no internet — only your licence check does, and that runs quietly in the background at launch.</w:t>
            </w:r>
          </w:p>
        </w:tc>
      </w:tr>
    </w:tbl>
    <w:p>
      <w:pPr>
        <w:spacing w:after="40"/>
      </w:pPr>
    </w:p>
    <w:tbl>
      <w:tblPr>
        <w:tblW w:type="auto" w:w="0"/>
        <w:jc w:val="center"/>
        <w:tblLook w:firstColumn="1" w:firstRow="1" w:lastColumn="0" w:lastRow="0" w:noHBand="0" w:noVBand="1" w:val="04A0"/>
      </w:tblPr>
      <w:tblGrid>
        <w:gridCol w:w="9360"/>
      </w:tblGrid>
      <w:tr>
        <w:tc>
          <w:tcPr>
            <w:tcW w:type="dxa" w:w="9360"/>
            <w:shd w:val="clear" w:fill="E8F1FB"/>
            <w:tcBorders>
              <w:left w:val="single" w:sz="24" w:color="1F7FC0"/>
            </w:tcBorders>
          </w:tcPr>
          <w:p>
            <w:pPr>
              <w:spacing w:after="40"/>
            </w:pPr>
            <w:r/>
            <w:r>
              <w:rPr>
                <w:b/>
                <w:color w:val="102A43"/>
              </w:rPr>
              <w:t xml:space="preserve">Tip  </w:t>
            </w:r>
            <w:r>
              <w:t>If you turned off “Confirm client info” in Options, the build skips straight to the draft. Turn it back on any time from Tools ▸ Options ▸ General.</w:t>
            </w:r>
          </w:p>
        </w:tc>
      </w:tr>
    </w:tbl>
    <w:p>
      <w:pPr>
        <w:spacing w:after="40"/>
      </w:pPr>
    </w:p>
    <w:p>
      <w:pPr>
        <w:pStyle w:val="Heading2"/>
      </w:pPr>
      <w:r>
        <w:t>What’s in the report</w:t>
      </w:r>
    </w:p>
    <w:p>
      <w:r>
        <w:t>Beyond the cover, certificate and per-asset photo pages, the report opens with a management summary built automatically from your findings:</w:t>
      </w:r>
    </w:p>
    <w:p>
      <w:pPr>
        <w:pStyle w:val="ListBullet"/>
      </w:pPr>
      <w:r>
        <w:t>IR Report Summary — the narrative overview and headline counts.</w:t>
      </w:r>
    </w:p>
    <w:p>
      <w:pPr>
        <w:pStyle w:val="ListBullet"/>
      </w:pPr>
      <w:r>
        <w:t>Findings at a Glance — a severity-distribution chart (immediate / required / potential / reference) so managers see the picture in one look.</w:t>
      </w:r>
    </w:p>
    <w:p>
      <w:pPr>
        <w:pStyle w:val="ListBullet"/>
      </w:pPr>
      <w:r>
        <w:t>What Insurance Companies Require — a checklist showing the report meets common insurer and AHJ requirements (Level II thermographer, 640×480 imagery, full asset list, traffic-light severity, thermal analysis, technician notes, and repair recommendations).</w:t>
      </w:r>
    </w:p>
    <w:p>
      <w:pPr>
        <w:pStyle w:val="ListBullet"/>
      </w:pPr>
      <w:r>
        <w:t>Year-over-Year Comparison — which assets worsened, improved or are new since last year, with a clickable watch-list. (Shown when the workbook has a prior-year sheet.)</w:t>
      </w:r>
    </w:p>
    <w:p>
      <w:pPr>
        <w:pStyle w:val="ListBullet"/>
      </w:pPr>
      <w:r>
        <w:t>Temperature Trend — a max-temperature line chart per asset once two or more years of scan history exist.</w:t>
      </w:r>
    </w:p>
    <w:p>
      <w:pPr>
        <w:pStyle w:val="ListBullet"/>
      </w:pPr>
      <w:r>
        <w:t>Risk Prioritization — each condition’s industry failure likelihood (NETA temperature-rise benchmarks), to help prioritize corrective work.</w:t>
      </w:r>
    </w:p>
    <w:p>
      <w:pPr>
        <w:pStyle w:val="ListBullet"/>
      </w:pPr>
      <w:r>
        <w:t>Recommended Re-inspection Schedule — each finding’s next-due date under your chosen standard.</w:t>
      </w:r>
    </w:p>
    <w:p>
      <w:pPr>
        <w:pStyle w:val="ListBullet"/>
      </w:pPr>
      <w:r>
        <w:t>Repair Summary Table with the Severity Matrix — every flagged anomaly, sorted worst-first.</w:t>
      </w:r>
    </w:p>
    <w:p>
      <w:pPr>
        <w:pStyle w:val="Heading1"/>
      </w:pPr>
      <w:r>
        <w:t>10.  Severity &amp; Criticality Model</w:t>
      </w:r>
    </w:p>
    <w:p>
      <w:r>
        <w:t xml:space="preserve">Every finding is classified on two 1–10 scales — </w:t>
      </w:r>
      <w:r>
        <w:rPr>
          <w:b/>
        </w:rPr>
        <w:t>Severity</w:t>
      </w:r>
      <w:r>
        <w:t xml:space="preserve"> (how hot / how serious the anomaly is) and </w:t>
      </w:r>
      <w:r>
        <w:rPr>
          <w:b/>
        </w:rPr>
        <w:t>Criticality</w:t>
      </w:r>
      <w:r>
        <w:t xml:space="preserve"> (how important the asset is). Together they place the finding on the </w:t>
      </w:r>
      <w:r>
        <w:rPr>
          <w:b/>
        </w:rPr>
        <w:t>Severity Matrix</w:t>
      </w:r>
      <w:r>
        <w:t>, shaded dark-green (low) through red (critical).</w:t>
      </w:r>
    </w:p>
    <w:p>
      <w:r>
        <w:t>As a guide, the temperature rise (</w:t>
      </w:r>
      <w:r>
        <w:rPr>
          <w:b/>
        </w:rPr>
        <w:t>ΔT</w:t>
      </w:r>
      <w:r>
        <w:t>) over a normal reference suggests the fault class:</w:t>
      </w:r>
    </w:p>
    <w:tbl>
      <w:tblPr>
        <w:tblStyle w:val="TableGrid"/>
        <w:tblW w:type="auto" w:w="0"/>
        <w:jc w:val="center"/>
        <w:tblLook w:firstColumn="1" w:firstRow="1" w:lastColumn="0" w:lastRow="0" w:noHBand="0" w:noVBand="1" w:val="04A0"/>
      </w:tblPr>
      <w:tblGrid>
        <w:gridCol w:w="4680"/>
        <w:gridCol w:w="4680"/>
      </w:tblGrid>
      <w:tr>
        <w:tc>
          <w:tcPr>
            <w:tcW w:type="dxa" w:w="3744"/>
            <w:shd w:val="clear" w:fill="D8E1EC"/>
          </w:tcPr>
          <w:p>
            <w:r>
              <w:rPr>
                <w:b/>
                <w:color w:val="102A43"/>
                <w:sz w:val="20"/>
              </w:rPr>
              <w:t>Temperature rise (ΔT)</w:t>
            </w:r>
          </w:p>
        </w:tc>
        <w:tc>
          <w:tcPr>
            <w:tcW w:type="dxa" w:w="5616"/>
            <w:shd w:val="clear" w:fill="D8E1EC"/>
          </w:tcPr>
          <w:p>
            <w:r>
              <w:rPr>
                <w:b/>
                <w:color w:val="102A43"/>
                <w:sz w:val="20"/>
              </w:rPr>
              <w:t>Suggested classification</w:t>
            </w:r>
          </w:p>
        </w:tc>
      </w:tr>
      <w:tr>
        <w:tc>
          <w:tcPr>
            <w:tcW w:type="dxa" w:w="3744"/>
          </w:tcPr>
          <w:p>
            <w:r>
              <w:rPr>
                <w:sz w:val="20"/>
              </w:rPr>
              <w:t>Above 5 °C</w:t>
            </w:r>
          </w:p>
        </w:tc>
        <w:tc>
          <w:tcPr>
            <w:tcW w:type="dxa" w:w="5616"/>
          </w:tcPr>
          <w:p>
            <w:r>
              <w:rPr>
                <w:sz w:val="20"/>
              </w:rPr>
              <w:t>Potential problem — review and monitor.</w:t>
            </w:r>
          </w:p>
        </w:tc>
      </w:tr>
      <w:tr>
        <w:tc>
          <w:tcPr>
            <w:tcW w:type="dxa" w:w="3744"/>
          </w:tcPr>
          <w:p>
            <w:r>
              <w:rPr>
                <w:sz w:val="20"/>
              </w:rPr>
              <w:t>Above 10 °C</w:t>
            </w:r>
          </w:p>
        </w:tc>
        <w:tc>
          <w:tcPr>
            <w:tcW w:type="dxa" w:w="5616"/>
          </w:tcPr>
          <w:p>
            <w:r>
              <w:rPr>
                <w:sz w:val="20"/>
              </w:rPr>
              <w:t>Repair required — schedule corrective work.</w:t>
            </w:r>
          </w:p>
        </w:tc>
      </w:tr>
      <w:tr>
        <w:tc>
          <w:tcPr>
            <w:tcW w:type="dxa" w:w="3744"/>
          </w:tcPr>
          <w:p>
            <w:r>
              <w:rPr>
                <w:sz w:val="20"/>
              </w:rPr>
              <w:t>Above 20 °C</w:t>
            </w:r>
          </w:p>
        </w:tc>
        <w:tc>
          <w:tcPr>
            <w:tcW w:type="dxa" w:w="5616"/>
          </w:tcPr>
          <w:p>
            <w:r>
              <w:rPr>
                <w:sz w:val="20"/>
              </w:rPr>
              <w:t>Repair immediately — act without delay.</w:t>
            </w:r>
          </w:p>
        </w:tc>
      </w:tr>
    </w:tbl>
    <w:p>
      <w:pPr>
        <w:jc w:val="center"/>
      </w:pPr>
      <w:r>
        <w:drawing>
          <wp:inline xmlns:a="http://schemas.openxmlformats.org/drawingml/2006/main" xmlns:pic="http://schemas.openxmlformats.org/drawingml/2006/picture">
            <wp:extent cx="4572000" cy="3248526"/>
            <wp:docPr id="3" name="Picture 3"/>
            <wp:cNvGraphicFramePr>
              <a:graphicFrameLocks noChangeAspect="1"/>
            </wp:cNvGraphicFramePr>
            <a:graphic>
              <a:graphicData uri="http://schemas.openxmlformats.org/drawingml/2006/picture">
                <pic:pic>
                  <pic:nvPicPr>
                    <pic:cNvPr id="0" name="sevmatrix.png"/>
                    <pic:cNvPicPr/>
                  </pic:nvPicPr>
                  <pic:blipFill>
                    <a:blip r:embed="rId11"/>
                    <a:stretch>
                      <a:fillRect/>
                    </a:stretch>
                  </pic:blipFill>
                  <pic:spPr>
                    <a:xfrm>
                      <a:off x="0" y="0"/>
                      <a:ext cx="4572000" cy="3248526"/>
                    </a:xfrm>
                    <a:prstGeom prst="rect"/>
                  </pic:spPr>
                </pic:pic>
              </a:graphicData>
            </a:graphic>
          </wp:inline>
        </w:drawing>
      </w:r>
    </w:p>
    <w:p>
      <w:pPr>
        <w:jc w:val="center"/>
      </w:pPr>
      <w:r>
        <w:rPr>
          <w:i/>
          <w:color w:val="555F6B"/>
          <w:sz w:val="18"/>
        </w:rPr>
        <w:t>The Severity Matrix — Severity × Criticality, dark green (low) to red (critical).</w:t>
      </w:r>
    </w:p>
    <w:p>
      <w:r>
        <w:br w:type="page"/>
      </w:r>
    </w:p>
    <w:p>
      <w:pPr>
        <w:pStyle w:val="Heading1"/>
      </w:pPr>
      <w:r>
        <w:t>11.  Licensing, Updates &amp; Feedback</w:t>
      </w:r>
    </w:p>
    <w:p>
      <w:pPr>
        <w:pStyle w:val="Heading2"/>
      </w:pPr>
      <w:r>
        <w:t>Subscription, trial &amp; activation</w:t>
      </w:r>
    </w:p>
    <w:p>
      <w:pPr>
        <w:pStyle w:val="ListBullet"/>
      </w:pPr>
      <w:r>
        <w:t>DTI Suite is an annual subscription, licensed per machine. Your first 30 days are a free trial — every feature, no credit card.</w:t>
      </w:r>
    </w:p>
    <w:p>
      <w:pPr>
        <w:pStyle w:val="ListBullet"/>
      </w:pPr>
      <w:r>
        <w:t>Open Help ▸ About any time to see your status (trial days remaining, or your renewal date).</w:t>
      </w:r>
    </w:p>
    <w:p>
      <w:pPr>
        <w:pStyle w:val="ListBullet"/>
      </w:pPr>
      <w:r>
        <w:t>To subscribe, click Help ▸ About ▸ Subscribe… — it opens the secure checkout. After paying you receive a license key by email.</w:t>
      </w:r>
    </w:p>
    <w:p>
      <w:pPr>
        <w:pStyle w:val="ListBullet"/>
      </w:pPr>
      <w:r>
        <w:t>Click Help ▸ About ▸ Activate… and paste the key. This activates DTI Suite on this computer (one machine per license).</w:t>
      </w:r>
    </w:p>
    <w:p>
      <w:pPr>
        <w:pStyle w:val="ListBullet"/>
      </w:pPr>
      <w:r>
        <w:t>Switching computers? Click Deactivate on the old PC to free the seat, then Activate on the new one. Activation needs internet access; day-to-day report building does not.</w:t>
      </w:r>
    </w:p>
    <w:p>
      <w:pPr>
        <w:pStyle w:val="Heading2"/>
      </w:pPr>
      <w:r>
        <w:t>Updates (one click)</w:t>
      </w:r>
    </w:p>
    <w:p>
      <w:pPr>
        <w:pStyle w:val="ListBullet"/>
      </w:pPr>
      <w:r>
        <w:t>When a new version is available, DTI Suite tells you at launch — or check any time with Help ▸ Check for Updates. Click Update now and it downloads the new version, verifies it, replaces itself and restarts, all in a few seconds. There is nothing to reinstall.</w:t>
      </w:r>
    </w:p>
    <w:p>
      <w:pPr>
        <w:pStyle w:val="ListBullet"/>
      </w:pPr>
      <w:r>
        <w:t>Your Company Info, logo, licence and even your edited Word and Excel templates are all kept across an update — they live in your user profile, not the program folder.</w:t>
      </w:r>
    </w:p>
    <w:p>
      <w:pPr>
        <w:pStyle w:val="Heading2"/>
      </w:pPr>
      <w:r>
        <w:t>Send feedback</w:t>
      </w:r>
    </w:p>
    <w:p>
      <w:pPr>
        <w:pStyle w:val="ListBullet"/>
      </w:pPr>
      <w:r>
        <w:t>Help ▸ Send Feedback / User Request sends your message straight to Dynamic Infrared from inside the app — no email program needed. Only the text you type (plus the app version) is sent; none of your inspection data goes with it.</w:t>
      </w:r>
    </w:p>
    <w:p>
      <w:pPr>
        <w:pStyle w:val="ListBullet"/>
      </w:pPr>
      <w:r>
        <w:t>Need to show us something? Click **Attach files…** to add up to five files (a screenshot, a sample photo) — up to 8 MB each. If they can’t be sent, DTI Suite offers to send your message without them so your note still gets through.</w:t>
      </w:r>
    </w:p>
    <w:p>
      <w:pPr>
        <w:pStyle w:val="Heading1"/>
      </w:pPr>
      <w:r>
        <w:t>12.  Troubleshooting &amp; FAQ</w:t>
      </w:r>
    </w:p>
    <w:tbl>
      <w:tblPr>
        <w:tblStyle w:val="TableGrid"/>
        <w:tblW w:type="auto" w:w="0"/>
        <w:jc w:val="center"/>
        <w:tblLook w:firstColumn="1" w:firstRow="1" w:lastColumn="0" w:lastRow="0" w:noHBand="0" w:noVBand="1" w:val="04A0"/>
      </w:tblPr>
      <w:tblGrid>
        <w:gridCol w:w="4680"/>
        <w:gridCol w:w="4680"/>
      </w:tblGrid>
      <w:tr>
        <w:tc>
          <w:tcPr>
            <w:tcW w:type="dxa" w:w="3600"/>
            <w:shd w:val="clear" w:fill="D8E1EC"/>
          </w:tcPr>
          <w:p>
            <w:r>
              <w:rPr>
                <w:b/>
                <w:color w:val="102A43"/>
                <w:sz w:val="20"/>
              </w:rPr>
              <w:t>Question / symptom</w:t>
            </w:r>
          </w:p>
        </w:tc>
        <w:tc>
          <w:tcPr>
            <w:tcW w:type="dxa" w:w="5760"/>
            <w:shd w:val="clear" w:fill="D8E1EC"/>
          </w:tcPr>
          <w:p>
            <w:r>
              <w:rPr>
                <w:b/>
                <w:color w:val="102A43"/>
                <w:sz w:val="20"/>
              </w:rPr>
              <w:t>What to do</w:t>
            </w:r>
          </w:p>
        </w:tc>
      </w:tr>
      <w:tr>
        <w:tc>
          <w:tcPr>
            <w:tcW w:type="dxa" w:w="3600"/>
          </w:tcPr>
          <w:p>
            <w:r>
              <w:rPr>
                <w:sz w:val="20"/>
              </w:rPr>
              <w:t>A photo didn’t match its row</w:t>
            </w:r>
          </w:p>
        </w:tc>
        <w:tc>
          <w:tcPr>
            <w:tcW w:type="dxa" w:w="5760"/>
          </w:tcPr>
          <w:p>
            <w:r>
              <w:rPr>
                <w:sz w:val="20"/>
              </w:rPr>
              <w:t>Check the Asset No. on the photo matches the workbook’s Asset Tag No. exactly. Photos pair automatically on load — you can also right-click a photo to pair it by hand. A ✓ in front of a photo’s name means it’s paired.</w:t>
            </w:r>
          </w:p>
        </w:tc>
      </w:tr>
      <w:tr>
        <w:tc>
          <w:tcPr>
            <w:tcW w:type="dxa" w:w="3600"/>
          </w:tcPr>
          <w:p>
            <w:r>
              <w:rPr>
                <w:sz w:val="20"/>
              </w:rPr>
              <w:t>“Could not read workbook”</w:t>
            </w:r>
          </w:p>
        </w:tc>
        <w:tc>
          <w:tcPr>
            <w:tcW w:type="dxa" w:w="5760"/>
          </w:tcPr>
          <w:p>
            <w:r>
              <w:rPr>
                <w:sz w:val="20"/>
              </w:rPr>
              <w:t>Make sure it’s the right .xlsm and the inventory heading row (with an asset-number column such as “Asset Tag No.”) is intact. The app finds the current-year sheet automatically.</w:t>
            </w:r>
          </w:p>
        </w:tc>
      </w:tr>
      <w:tr>
        <w:tc>
          <w:tcPr>
            <w:tcW w:type="dxa" w:w="3600"/>
          </w:tcPr>
          <w:p>
            <w:r>
              <w:rPr>
                <w:sz w:val="20"/>
              </w:rPr>
              <w:t>My Excel edits aren’t showing</w:t>
            </w:r>
          </w:p>
        </w:tc>
        <w:tc>
          <w:tcPr>
            <w:tcW w:type="dxa" w:w="5760"/>
          </w:tcPr>
          <w:p>
            <w:r>
              <w:rPr>
                <w:sz w:val="20"/>
              </w:rPr>
              <w:t>Save the workbook in Excel — DTI Suite refreshes the table the moment you save. Use the Edit in Excel button to open it, and your ticks, pairings and filter are kept on refresh.</w:t>
            </w:r>
          </w:p>
        </w:tc>
      </w:tr>
      <w:tr>
        <w:tc>
          <w:tcPr>
            <w:tcW w:type="dxa" w:w="3600"/>
          </w:tcPr>
          <w:p>
            <w:r>
              <w:rPr>
                <w:sz w:val="20"/>
              </w:rPr>
              <w:t>Did I edit every photo?</w:t>
            </w:r>
          </w:p>
        </w:tc>
        <w:tc>
          <w:tcPr>
            <w:tcW w:type="dxa" w:w="5760"/>
          </w:tcPr>
          <w:p>
            <w:r>
              <w:rPr>
                <w:sz w:val="20"/>
              </w:rPr>
              <w:t>In the tray, edited photos show their markers and a small blue ✎ badge. Any photo without the badge hasn’t been marked up yet.</w:t>
            </w:r>
          </w:p>
        </w:tc>
      </w:tr>
      <w:tr>
        <w:tc>
          <w:tcPr>
            <w:tcW w:type="dxa" w:w="3600"/>
          </w:tcPr>
          <w:p>
            <w:r>
              <w:rPr>
                <w:sz w:val="20"/>
              </w:rPr>
              <w:t>Temperatures show in the wrong unit</w:t>
            </w:r>
          </w:p>
        </w:tc>
        <w:tc>
          <w:tcPr>
            <w:tcW w:type="dxa" w:w="5760"/>
          </w:tcPr>
          <w:p>
            <w:r>
              <w:rPr>
                <w:sz w:val="20"/>
              </w:rPr>
              <w:t>Set Temperature in Tools ▸ Options ▸ Regional. The editor and report both follow it (°C or °F).</w:t>
            </w:r>
          </w:p>
        </w:tc>
      </w:tr>
      <w:tr>
        <w:tc>
          <w:tcPr>
            <w:tcW w:type="dxa" w:w="3600"/>
          </w:tcPr>
          <w:p>
            <w:r>
              <w:rPr>
                <w:sz w:val="20"/>
              </w:rPr>
              <w:t>The final PDF won’t generate</w:t>
            </w:r>
          </w:p>
        </w:tc>
        <w:tc>
          <w:tcPr>
            <w:tcW w:type="dxa" w:w="5760"/>
          </w:tcPr>
          <w:p>
            <w:r>
              <w:rPr>
                <w:sz w:val="20"/>
              </w:rPr>
              <w:t>Microsoft Word must be installed and closed-able by the app. Open Word once, then try Finalize again.</w:t>
            </w:r>
          </w:p>
        </w:tc>
      </w:tr>
      <w:tr>
        <w:tc>
          <w:tcPr>
            <w:tcW w:type="dxa" w:w="3600"/>
          </w:tcPr>
          <w:p>
            <w:r>
              <w:rPr>
                <w:sz w:val="20"/>
              </w:rPr>
              <w:t>I closed Word before finalizing</w:t>
            </w:r>
          </w:p>
        </w:tc>
        <w:tc>
          <w:tcPr>
            <w:tcW w:type="dxa" w:w="5760"/>
          </w:tcPr>
          <w:p>
            <w:r>
              <w:rPr>
                <w:sz w:val="20"/>
              </w:rPr>
              <w:t>The editable draft is saved in your job folder (next to the Asset Inventory List) — reopen it there, or just click Build report again for a fresh draft.</w:t>
            </w:r>
          </w:p>
        </w:tc>
      </w:tr>
      <w:tr>
        <w:tc>
          <w:tcPr>
            <w:tcW w:type="dxa" w:w="3600"/>
          </w:tcPr>
          <w:p>
            <w:r>
              <w:rPr>
                <w:sz w:val="20"/>
              </w:rPr>
              <w:t>The model drop-down is empty for a make</w:t>
            </w:r>
          </w:p>
        </w:tc>
        <w:tc>
          <w:tcPr>
            <w:tcW w:type="dxa" w:w="5760"/>
          </w:tcPr>
          <w:p>
            <w:r>
              <w:rPr>
                <w:sz w:val="20"/>
              </w:rPr>
              <w:t>That make may not be wired to a model column yet — see Section 7, or ask the developer to add it.</w:t>
            </w:r>
          </w:p>
        </w:tc>
      </w:tr>
      <w:tr>
        <w:tc>
          <w:tcPr>
            <w:tcW w:type="dxa" w:w="3600"/>
          </w:tcPr>
          <w:p>
            <w:r>
              <w:rPr>
                <w:sz w:val="20"/>
              </w:rPr>
              <w:t>I want a fresh draft</w:t>
            </w:r>
          </w:p>
        </w:tc>
        <w:tc>
          <w:tcPr>
            <w:tcW w:type="dxa" w:w="5760"/>
          </w:tcPr>
          <w:p>
            <w:r>
              <w:rPr>
                <w:sz w:val="20"/>
              </w:rPr>
              <w:t>Use Build report again — each build creates a fresh editable draft before you Finalize.</w:t>
            </w:r>
          </w:p>
        </w:tc>
      </w:tr>
    </w:tbl>
    <w:p>
      <w:r>
        <w:br w:type="page"/>
      </w:r>
    </w:p>
    <w:p>
      <w:pPr>
        <w:pStyle w:val="Heading1"/>
      </w:pPr>
      <w:r>
        <w:t>13.  Appendix: Quick Reference</w:t>
      </w:r>
    </w:p>
    <w:p>
      <w:pPr>
        <w:pStyle w:val="Heading2"/>
      </w:pPr>
      <w:r>
        <w:t>The seven-step workflow</w:t>
      </w:r>
    </w:p>
    <w:p>
      <w:r/>
      <w:r>
        <w:rPr>
          <w:b/>
        </w:rPr>
        <w:t>1. Build the TextTable → 2. Upload to camera → 3. Capture &amp; tag → 4. Transfer by SD card → 5. Fill the Inventory List → 6. Pair &amp; edit → 7. Build the report.</w:t>
      </w:r>
      <w:r/>
    </w:p>
    <w:p>
      <w:pPr>
        <w:pStyle w:val="Heading2"/>
      </w:pPr>
      <w:r>
        <w:t>TextTable fields</w:t>
      </w:r>
    </w:p>
    <w:p>
      <w:pPr>
        <w:pStyle w:val="ListBullet"/>
      </w:pPr>
      <w:r>
        <w:t>Drop-downs: Problem, Recommendation, Action.</w:t>
      </w:r>
    </w:p>
    <w:p>
      <w:pPr>
        <w:pStyle w:val="ListBullet"/>
      </w:pPr>
      <w:r>
        <w:t>Free text: Asset No. (Location, Label, Equipment and Rating come from the spreadsheet).</w:t>
      </w:r>
    </w:p>
    <w:p>
      <w:pPr>
        <w:pStyle w:val="Heading2"/>
      </w:pPr>
      <w:r>
        <w:t>Keyboard shortcuts</w:t>
      </w:r>
    </w:p>
    <w:tbl>
      <w:tblPr>
        <w:tblStyle w:val="TableGrid"/>
        <w:tblW w:type="auto" w:w="0"/>
        <w:jc w:val="center"/>
        <w:tblLook w:firstColumn="1" w:firstRow="1" w:lastColumn="0" w:lastRow="0" w:noHBand="0" w:noVBand="1" w:val="04A0"/>
      </w:tblPr>
      <w:tblGrid>
        <w:gridCol w:w="4680"/>
        <w:gridCol w:w="4680"/>
      </w:tblGrid>
      <w:tr>
        <w:tc>
          <w:tcPr>
            <w:tcW w:type="dxa" w:w="2736"/>
            <w:shd w:val="clear" w:fill="D8E1EC"/>
          </w:tcPr>
          <w:p>
            <w:r>
              <w:rPr>
                <w:b/>
                <w:color w:val="102A43"/>
                <w:sz w:val="20"/>
              </w:rPr>
              <w:t>Shortcut</w:t>
            </w:r>
          </w:p>
        </w:tc>
        <w:tc>
          <w:tcPr>
            <w:tcW w:type="dxa" w:w="6624"/>
            <w:shd w:val="clear" w:fill="D8E1EC"/>
          </w:tcPr>
          <w:p>
            <w:r>
              <w:rPr>
                <w:b/>
                <w:color w:val="102A43"/>
                <w:sz w:val="20"/>
              </w:rPr>
              <w:t>Action</w:t>
            </w:r>
          </w:p>
        </w:tc>
      </w:tr>
      <w:tr>
        <w:tc>
          <w:tcPr>
            <w:tcW w:type="dxa" w:w="2736"/>
          </w:tcPr>
          <w:p>
            <w:r>
              <w:rPr>
                <w:sz w:val="20"/>
              </w:rPr>
              <w:t>Ctrl + N</w:t>
            </w:r>
          </w:p>
        </w:tc>
        <w:tc>
          <w:tcPr>
            <w:tcW w:type="dxa" w:w="6624"/>
          </w:tcPr>
          <w:p>
            <w:r>
              <w:rPr>
                <w:sz w:val="20"/>
              </w:rPr>
              <w:t>New Job — clear the asset list and photos for the next client.</w:t>
            </w:r>
          </w:p>
        </w:tc>
      </w:tr>
      <w:tr>
        <w:tc>
          <w:tcPr>
            <w:tcW w:type="dxa" w:w="2736"/>
          </w:tcPr>
          <w:p>
            <w:r>
              <w:rPr>
                <w:sz w:val="20"/>
              </w:rPr>
              <w:t>Ctrl + O</w:t>
            </w:r>
          </w:p>
        </w:tc>
        <w:tc>
          <w:tcPr>
            <w:tcW w:type="dxa" w:w="6624"/>
          </w:tcPr>
          <w:p>
            <w:r>
              <w:rPr>
                <w:sz w:val="20"/>
              </w:rPr>
              <w:t>Open Inventory — choose the Asset Inventory List (Excel).</w:t>
            </w:r>
          </w:p>
        </w:tc>
      </w:tr>
      <w:tr>
        <w:tc>
          <w:tcPr>
            <w:tcW w:type="dxa" w:w="2736"/>
          </w:tcPr>
          <w:p>
            <w:r>
              <w:rPr>
                <w:sz w:val="20"/>
              </w:rPr>
              <w:t>Ctrl + Shift + O</w:t>
            </w:r>
          </w:p>
        </w:tc>
        <w:tc>
          <w:tcPr>
            <w:tcW w:type="dxa" w:w="6624"/>
          </w:tcPr>
          <w:p>
            <w:r>
              <w:rPr>
                <w:sz w:val="20"/>
              </w:rPr>
              <w:t>Add Photos to the tray.</w:t>
            </w:r>
          </w:p>
        </w:tc>
      </w:tr>
      <w:tr>
        <w:tc>
          <w:tcPr>
            <w:tcW w:type="dxa" w:w="2736"/>
          </w:tcPr>
          <w:p>
            <w:r>
              <w:rPr>
                <w:sz w:val="20"/>
              </w:rPr>
              <w:t>Ctrl + B</w:t>
            </w:r>
          </w:p>
        </w:tc>
        <w:tc>
          <w:tcPr>
            <w:tcW w:type="dxa" w:w="6624"/>
          </w:tcPr>
          <w:p>
            <w:r>
              <w:rPr>
                <w:sz w:val="20"/>
              </w:rPr>
              <w:t>Build Report.</w:t>
            </w:r>
          </w:p>
        </w:tc>
      </w:tr>
      <w:tr>
        <w:tc>
          <w:tcPr>
            <w:tcW w:type="dxa" w:w="2736"/>
          </w:tcPr>
          <w:p>
            <w:r>
              <w:rPr>
                <w:sz w:val="20"/>
              </w:rPr>
              <w:t>D</w:t>
            </w:r>
          </w:p>
        </w:tc>
        <w:tc>
          <w:tcPr>
            <w:tcW w:type="dxa" w:w="6624"/>
          </w:tcPr>
          <w:p>
            <w:r>
              <w:rPr>
                <w:sz w:val="20"/>
              </w:rPr>
              <w:t>In the photo editor: flip between the thermal and Digital (visible-light) image.</w:t>
            </w:r>
          </w:p>
        </w:tc>
      </w:tr>
      <w:tr>
        <w:tc>
          <w:tcPr>
            <w:tcW w:type="dxa" w:w="2736"/>
          </w:tcPr>
          <w:p>
            <w:r>
              <w:rPr>
                <w:sz w:val="20"/>
              </w:rPr>
              <w:t>S</w:t>
            </w:r>
          </w:p>
        </w:tc>
        <w:tc>
          <w:tcPr>
            <w:tcW w:type="dxa" w:w="6624"/>
          </w:tcPr>
          <w:p>
            <w:r>
              <w:rPr>
                <w:sz w:val="20"/>
              </w:rPr>
              <w:t>In the photo editor: side-by-side thermal + digital view.</w:t>
            </w:r>
          </w:p>
        </w:tc>
      </w:tr>
      <w:tr>
        <w:tc>
          <w:tcPr>
            <w:tcW w:type="dxa" w:w="2736"/>
          </w:tcPr>
          <w:p>
            <w:r>
              <w:rPr>
                <w:sz w:val="20"/>
              </w:rPr>
              <w:t>Ctrl + Z / Ctrl + Y</w:t>
            </w:r>
          </w:p>
        </w:tc>
        <w:tc>
          <w:tcPr>
            <w:tcW w:type="dxa" w:w="6624"/>
          </w:tcPr>
          <w:p>
            <w:r>
              <w:rPr>
                <w:sz w:val="20"/>
              </w:rPr>
              <w:t>In the photo editor: undo / redo any edit.</w:t>
            </w:r>
          </w:p>
        </w:tc>
      </w:tr>
      <w:tr>
        <w:tc>
          <w:tcPr>
            <w:tcW w:type="dxa" w:w="2736"/>
          </w:tcPr>
          <w:p>
            <w:r>
              <w:rPr>
                <w:sz w:val="20"/>
              </w:rPr>
              <w:t>Mouse wheel / middle-drag</w:t>
            </w:r>
          </w:p>
        </w:tc>
        <w:tc>
          <w:tcPr>
            <w:tcW w:type="dxa" w:w="6624"/>
          </w:tcPr>
          <w:p>
            <w:r>
              <w:rPr>
                <w:sz w:val="20"/>
              </w:rPr>
              <w:t>In the photo editor: zoom (around the cursor) / pan when zoomed.</w:t>
            </w:r>
          </w:p>
        </w:tc>
      </w:tr>
      <w:tr>
        <w:tc>
          <w:tcPr>
            <w:tcW w:type="dxa" w:w="2736"/>
          </w:tcPr>
          <w:p>
            <w:r>
              <w:rPr>
                <w:sz w:val="20"/>
              </w:rPr>
              <w:t>Ctrl + 0</w:t>
            </w:r>
          </w:p>
        </w:tc>
        <w:tc>
          <w:tcPr>
            <w:tcW w:type="dxa" w:w="6624"/>
          </w:tcPr>
          <w:p>
            <w:r>
              <w:rPr>
                <w:sz w:val="20"/>
              </w:rPr>
              <w:t>In the photo editor: fit the image to the window again.</w:t>
            </w:r>
          </w:p>
        </w:tc>
      </w:tr>
      <w:tr>
        <w:tc>
          <w:tcPr>
            <w:tcW w:type="dxa" w:w="2736"/>
          </w:tcPr>
          <w:p>
            <w:r>
              <w:rPr>
                <w:sz w:val="20"/>
              </w:rPr>
              <w:t>Delete</w:t>
            </w:r>
          </w:p>
        </w:tc>
        <w:tc>
          <w:tcPr>
            <w:tcW w:type="dxa" w:w="6624"/>
          </w:tcPr>
          <w:p>
            <w:r>
              <w:rPr>
                <w:sz w:val="20"/>
              </w:rPr>
              <w:t>In the photo editor: remove the selected marker; in the tray: remove the selected photo.</w:t>
            </w:r>
          </w:p>
        </w:tc>
      </w:tr>
    </w:tbl>
    <w:p>
      <w:pPr>
        <w:pStyle w:val="Heading2"/>
      </w:pPr>
      <w:r>
        <w:t>Where things are saved</w:t>
      </w:r>
    </w:p>
    <w:tbl>
      <w:tblPr>
        <w:tblStyle w:val="TableGrid"/>
        <w:tblW w:type="auto" w:w="0"/>
        <w:jc w:val="center"/>
        <w:tblLook w:firstColumn="1" w:firstRow="1" w:lastColumn="0" w:lastRow="0" w:noHBand="0" w:noVBand="1" w:val="04A0"/>
      </w:tblPr>
      <w:tblGrid>
        <w:gridCol w:w="4680"/>
        <w:gridCol w:w="4680"/>
      </w:tblGrid>
      <w:tr>
        <w:tc>
          <w:tcPr>
            <w:tcW w:type="dxa" w:w="3168"/>
            <w:shd w:val="clear" w:fill="D8E1EC"/>
          </w:tcPr>
          <w:p>
            <w:r>
              <w:rPr>
                <w:b/>
                <w:color w:val="102A43"/>
                <w:sz w:val="20"/>
              </w:rPr>
              <w:t>Item</w:t>
            </w:r>
          </w:p>
        </w:tc>
        <w:tc>
          <w:tcPr>
            <w:tcW w:type="dxa" w:w="6192"/>
            <w:shd w:val="clear" w:fill="D8E1EC"/>
          </w:tcPr>
          <w:p>
            <w:r>
              <w:rPr>
                <w:b/>
                <w:color w:val="102A43"/>
                <w:sz w:val="20"/>
              </w:rPr>
              <w:t>Location</w:t>
            </w:r>
          </w:p>
        </w:tc>
      </w:tr>
      <w:tr>
        <w:tc>
          <w:tcPr>
            <w:tcW w:type="dxa" w:w="3168"/>
          </w:tcPr>
          <w:p>
            <w:r>
              <w:rPr>
                <w:sz w:val="20"/>
              </w:rPr>
              <w:t>Company Info &amp; logo</w:t>
            </w:r>
          </w:p>
        </w:tc>
        <w:tc>
          <w:tcPr>
            <w:tcW w:type="dxa" w:w="6192"/>
          </w:tcPr>
          <w:p>
            <w:r>
              <w:rPr>
                <w:sz w:val="20"/>
              </w:rPr>
              <w:t>Your Windows user profile (AppData ▸ DynamicInfraredReporting).</w:t>
            </w:r>
          </w:p>
        </w:tc>
      </w:tr>
      <w:tr>
        <w:tc>
          <w:tcPr>
            <w:tcW w:type="dxa" w:w="3168"/>
          </w:tcPr>
          <w:p>
            <w:r>
              <w:rPr>
                <w:sz w:val="20"/>
              </w:rPr>
              <w:t>Preferences</w:t>
            </w:r>
          </w:p>
        </w:tc>
        <w:tc>
          <w:tcPr>
            <w:tcW w:type="dxa" w:w="6192"/>
          </w:tcPr>
          <w:p>
            <w:r>
              <w:rPr>
                <w:sz w:val="20"/>
              </w:rPr>
              <w:t>Windows settings store (per user).</w:t>
            </w:r>
          </w:p>
        </w:tc>
      </w:tr>
      <w:tr>
        <w:tc>
          <w:tcPr>
            <w:tcW w:type="dxa" w:w="3168"/>
          </w:tcPr>
          <w:p>
            <w:r>
              <w:rPr>
                <w:sz w:val="20"/>
              </w:rPr>
              <w:t>License / trial</w:t>
            </w:r>
          </w:p>
        </w:tc>
        <w:tc>
          <w:tcPr>
            <w:tcW w:type="dxa" w:w="6192"/>
          </w:tcPr>
          <w:p>
            <w:r>
              <w:rPr>
                <w:sz w:val="20"/>
              </w:rPr>
              <w:t>license.json in the same DynamicInfraredReporting folder.</w:t>
            </w:r>
          </w:p>
        </w:tc>
      </w:tr>
      <w:tr>
        <w:tc>
          <w:tcPr>
            <w:tcW w:type="dxa" w:w="3168"/>
          </w:tcPr>
          <w:p>
            <w:r>
              <w:rPr>
                <w:sz w:val="20"/>
              </w:rPr>
              <w:t>Per-photo edits &amp; annotations</w:t>
            </w:r>
          </w:p>
        </w:tc>
        <w:tc>
          <w:tcPr>
            <w:tcW w:type="dxa" w:w="6192"/>
          </w:tcPr>
          <w:p>
            <w:r>
              <w:rPr>
                <w:sz w:val="20"/>
              </w:rPr>
              <w:t>Stored in the photo itself, with a small .dti.json beside it for the report.</w:t>
            </w:r>
          </w:p>
        </w:tc>
      </w:tr>
      <w:tr>
        <w:tc>
          <w:tcPr>
            <w:tcW w:type="dxa" w:w="3168"/>
          </w:tcPr>
          <w:p>
            <w:r>
              <w:rPr>
                <w:sz w:val="20"/>
              </w:rPr>
              <w:t>Editable Word draft</w:t>
            </w:r>
          </w:p>
        </w:tc>
        <w:tc>
          <w:tcPr>
            <w:tcW w:type="dxa" w:w="6192"/>
          </w:tcPr>
          <w:p>
            <w:r>
              <w:rPr>
                <w:sz w:val="20"/>
              </w:rPr>
              <w:t>Your job folder — the same folder as the Asset Inventory List — as soon as you Build.</w:t>
            </w:r>
          </w:p>
        </w:tc>
      </w:tr>
      <w:tr>
        <w:tc>
          <w:tcPr>
            <w:tcW w:type="dxa" w:w="3168"/>
          </w:tcPr>
          <w:p>
            <w:r>
              <w:rPr>
                <w:sz w:val="20"/>
              </w:rPr>
              <w:t>Finished reports</w:t>
            </w:r>
          </w:p>
        </w:tc>
        <w:tc>
          <w:tcPr>
            <w:tcW w:type="dxa" w:w="6192"/>
          </w:tcPr>
          <w:p>
            <w:r>
              <w:rPr>
                <w:sz w:val="20"/>
              </w:rPr>
              <w:t>The folder you choose when you Finalize (PDF + Word together).</w:t>
            </w:r>
          </w:p>
        </w:tc>
      </w:tr>
    </w:tbl>
    <w:p>
      <w:r>
        <w:rPr>
          <w:b w:val="0"/>
          <w:i w:val="0"/>
        </w:rPr>
      </w:r>
    </w:p>
    <w:p>
      <w:r>
        <w:rPr>
          <w:b w:val="0"/>
          <w:i/>
          <w:color w:val="555F6B"/>
        </w:rPr>
        <w:t>Questions, or want a step tightened up for your exact camera? Use Help ▸ Send Feedback — or just ask.</w:t>
      </w:r>
    </w:p>
    <w:sectPr w:rsidR="00FC693F" w:rsidRPr="0006063C" w:rsidSect="00034616">
      <w:footerReference w:type="default" r:id="rId1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sz w:val="16"/>
      </w:rPr>
      <w:t xml:space="preserve">DTI Suite  ·  </w:t>
    </w:r>
    <w:r>
      <w:rPr>
        <w:sz w:val="16"/>
      </w:rPr>
    </w:r>
    <w:fldSimple w:instr="PAGE"/>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updateFields w:val="tru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69" w:lineRule="auto"/>
    </w:pPr>
    <w:rPr>
      <w:rFonts w:ascii="Calibri" w:hAnsi="Calibri"/>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80" w:after="100"/>
      <w:outlineLvl w:val="0"/>
    </w:pPr>
    <w:rPr>
      <w:rFonts w:asciiTheme="majorHAnsi" w:eastAsiaTheme="majorEastAsia" w:hAnsiTheme="majorHAnsi" w:cstheme="majorBidi" w:ascii="Calibri" w:hAnsi="Calibri"/>
      <w:b/>
      <w:bCs/>
      <w:color w:val="102A43"/>
      <w:sz w:val="34"/>
      <w:szCs w:val="28"/>
    </w:rPr>
  </w:style>
  <w:style w:type="paragraph" w:styleId="Heading2">
    <w:name w:val="heading 2"/>
    <w:basedOn w:val="Normal"/>
    <w:next w:val="Normal"/>
    <w:link w:val="Heading2Char"/>
    <w:uiPriority w:val="9"/>
    <w:unhideWhenUsed/>
    <w:qFormat/>
    <w:rsid w:val="00FC693F"/>
    <w:pPr>
      <w:keepNext/>
      <w:keepLines/>
      <w:spacing w:before="200" w:after="100"/>
      <w:outlineLvl w:val="1"/>
    </w:pPr>
    <w:rPr>
      <w:rFonts w:asciiTheme="majorHAnsi" w:eastAsiaTheme="majorEastAsia" w:hAnsiTheme="majorHAnsi" w:cstheme="majorBidi" w:ascii="Calibri" w:hAnsi="Calibri"/>
      <w:b/>
      <w:bCs/>
      <w:color w:val="102A43"/>
      <w:sz w:val="27"/>
      <w:szCs w:val="26"/>
    </w:rPr>
  </w:style>
  <w:style w:type="paragraph" w:styleId="Heading3">
    <w:name w:val="heading 3"/>
    <w:basedOn w:val="Normal"/>
    <w:next w:val="Normal"/>
    <w:link w:val="Heading3Char"/>
    <w:uiPriority w:val="9"/>
    <w:unhideWhenUsed/>
    <w:qFormat/>
    <w:rsid w:val="00FC693F"/>
    <w:pPr>
      <w:keepNext/>
      <w:keepLines/>
      <w:spacing w:before="200" w:after="100"/>
      <w:outlineLvl w:val="2"/>
    </w:pPr>
    <w:rPr>
      <w:rFonts w:asciiTheme="majorHAnsi" w:eastAsiaTheme="majorEastAsia" w:hAnsiTheme="majorHAnsi" w:cstheme="majorBidi" w:ascii="Calibri" w:hAnsi="Calibri"/>
      <w:b/>
      <w:bCs/>
      <w:color w:val="1F7FC0"/>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image" Target="media/image2.png"/><Relationship Id="rId11" Type="http://schemas.openxmlformats.org/officeDocument/2006/relationships/image" Target="media/image3.png"/><Relationship Id="rId1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